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D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center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三好学生奖评选具体条件</w:t>
      </w:r>
    </w:p>
    <w:p w14:paraId="0982F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学习成绩优异，在研究生综合素质评价中“课程与论文评价”全年级排名前30%者；</w:t>
      </w:r>
    </w:p>
    <w:p w14:paraId="01726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科研能力显著，发展潜力突出，在研究生综合素质评价中“科研与创新素养评价”全年级排名前30%者。</w:t>
      </w:r>
    </w:p>
    <w:p w14:paraId="661C72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75F99"/>
    <w:rsid w:val="14E7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2026-05-14T15:40:00Z</dcterms:created>
  <dc:creator>WPS_1520593114</dc:creator>
  <cp:lastModifiedBy>WPS_1520593114</cp:lastModifiedBy>
  <dcterms:modified xsi:type="dcterms:W3CDTF">2026-05-14T15:41:52Z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2AE2C30CDBE14436936EB7CFFCA58EC7_11</vt:lpwstr>
  </property>
  <property fmtid="{D5CDD505-2E9C-101B-9397-08002B2CF9AE}" pid="4" name="KSOTemplateDocerSaveRecord">
    <vt:lpwstr>eyJoZGlkIjoiYTE4YWM3NDE1MGNiMmJmZWQ5NmNkMGQ1ZGFmYWQ4ZDkiLCJ1c2VySWQiOiIzNTA3ODk1NzMifQ==</vt:lpwstr>
  </property>
</Properties>
</file>