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9627F"/>
    <w:p w14:paraId="6177AD13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6A0B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</w:rPr>
      </w:pPr>
      <w:r>
        <w:rPr>
          <w:rFonts w:hint="eastAsia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</w:rPr>
        <w:t>吉首大学马克思主义学院研究生</w:t>
      </w:r>
    </w:p>
    <w:p w14:paraId="5FAC0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  <w:lang w:val="en-US" w:eastAsia="zh-CN"/>
        </w:rPr>
        <w:t>国家奖学金评审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</w:rPr>
        <w:t>实施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  <w:lang w:val="en-US" w:eastAsia="zh-CN"/>
        </w:rPr>
        <w:t>细则</w:t>
      </w:r>
    </w:p>
    <w:p w14:paraId="655E108B"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 w14:paraId="64AD9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吉首大学关于印发&lt;吉首大学研究生综合素质评价实施办法（试行）&gt;的通知》（吉大发〔2023〕17号）及《吉首大学关于印发&lt;吉首大学研究生课程管理规定&gt;等系列规章制度的通知》（吉大发〔2017〕41号）等文件精神和相关要求，结合我院实际情况，特制订本实施办法：</w:t>
      </w:r>
    </w:p>
    <w:p w14:paraId="7377A580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一、指导思想</w:t>
      </w:r>
    </w:p>
    <w:p w14:paraId="50151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（一）全面、科学地评价在校研究生，提高研究生培养质量，培养适应社会主义现代化建设需要的德、智、体、美、劳全面发展的高层次专门人才。</w:t>
      </w:r>
    </w:p>
    <w:p w14:paraId="53434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（二）研究生综合测评成绩是研究生评定学业奖学金、评选先进个人等的主要依据之一。</w:t>
      </w:r>
    </w:p>
    <w:p w14:paraId="570E400B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二、组织实施</w:t>
      </w:r>
    </w:p>
    <w:p w14:paraId="58BBD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研究生综合测评必须坚持公开、公平和公正的原则，组织实施步骤如下：</w:t>
      </w:r>
    </w:p>
    <w:p w14:paraId="392AD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（一）组织机构</w:t>
      </w:r>
    </w:p>
    <w:p w14:paraId="3CB3B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1.成立测评领导小组。由学院院长、党委书记任组长，成员由分管研究生教学的副院长、导师代表、研究生秘书等人组成，主要负责本单位研究生综合测评、审批和复查等。</w:t>
      </w:r>
    </w:p>
    <w:p w14:paraId="56510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2.成立测评小组。由学院院长、党委书记任组长、研究生秘书任副组长，成员由学生代表民主推荐或选举产生。</w:t>
      </w:r>
    </w:p>
    <w:p w14:paraId="7DCC755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（二）测评程序</w:t>
      </w:r>
    </w:p>
    <w:p w14:paraId="27BDA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1.测评小组对参评研究生进行德育评价考核。德育评价基础分低于60分者，取消当年评先评优资格。有下列情形之一者，德育评价成绩以0分计：</w:t>
      </w:r>
    </w:p>
    <w:p w14:paraId="33025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（1）违背四项基本原则，造成严重后果或影响。</w:t>
      </w:r>
    </w:p>
    <w:p w14:paraId="7B46A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（2）违反政治纪律，造成严重后果或影响。</w:t>
      </w:r>
    </w:p>
    <w:p w14:paraId="606BA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（3）违反相关法律法规受到惩处。</w:t>
      </w:r>
    </w:p>
    <w:p w14:paraId="1D1E7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（4）违反校纪校规，受到留校察看及以上处分。</w:t>
      </w:r>
    </w:p>
    <w:p w14:paraId="35305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2.测评小组审核。测评小组对参评材料进行审核，测评成绩报测评领导小组审批。</w:t>
      </w:r>
    </w:p>
    <w:p w14:paraId="1BC72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3.评审结果公示。测评领导小组对测评成绩进行复核，公示测评结果。</w:t>
      </w:r>
    </w:p>
    <w:p w14:paraId="42F9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4.公示无异议后，将测评结果报研究生院审核。</w:t>
      </w:r>
    </w:p>
    <w:p w14:paraId="7D6F25BB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三、评审对象</w:t>
      </w:r>
    </w:p>
    <w:p w14:paraId="2C076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马克思主义学院一年级、二年级、三年级全日制在籍硕士研究生。</w:t>
      </w:r>
    </w:p>
    <w:p w14:paraId="30A8D1FB">
      <w:pPr>
        <w:ind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四、评审材料范围</w:t>
      </w:r>
    </w:p>
    <w:p w14:paraId="257C5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学业奖学金以每年8月31日之前的评奖材料参与评奖。</w:t>
      </w:r>
    </w:p>
    <w:p w14:paraId="7C877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国家奖学金以评审截止日期前的评奖材料参与评奖。</w:t>
      </w:r>
    </w:p>
    <w:p w14:paraId="3272CDEB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五、综合评价内容及权重比例</w:t>
      </w:r>
    </w:p>
    <w:p w14:paraId="79527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一年级：总分值S=A-B</w:t>
      </w:r>
    </w:p>
    <w:p w14:paraId="6CA74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A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复试综合成绩</w:t>
      </w:r>
    </w:p>
    <w:p w14:paraId="677B0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B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减分项目</w:t>
      </w:r>
    </w:p>
    <w:p w14:paraId="75E80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highlight w:val="yellow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二年级：总分值S=A×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  <w:lang w:val="en-US" w:eastAsia="zh-CN"/>
        </w:rPr>
        <w:t>35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%+B×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  <w:lang w:val="en-US" w:eastAsia="zh-CN"/>
        </w:rPr>
        <w:t>55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%+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  <w:lang w:val="en-US" w:eastAsia="zh-CN"/>
        </w:rPr>
        <w:t>(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C-D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  <w:lang w:val="en-US" w:eastAsia="zh-CN"/>
        </w:rPr>
        <w:t>)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×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  <w:lang w:val="en-US" w:eastAsia="zh-CN"/>
        </w:rPr>
        <w:t>10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%</w:t>
      </w:r>
    </w:p>
    <w:p w14:paraId="622DF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A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学年度所修课程平均成绩</w:t>
      </w:r>
    </w:p>
    <w:p w14:paraId="190A1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B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科学研究与学术活动</w:t>
      </w:r>
    </w:p>
    <w:p w14:paraId="3476B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C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加分项目</w:t>
      </w:r>
    </w:p>
    <w:p w14:paraId="490A2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D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减分项目</w:t>
      </w:r>
    </w:p>
    <w:p w14:paraId="247E8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highlight w:val="yellow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三年级：总分值S=A×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  <w:lang w:val="en-US" w:eastAsia="zh-CN"/>
        </w:rPr>
        <w:t>25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%+B×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  <w:lang w:val="en-US" w:eastAsia="zh-CN"/>
        </w:rPr>
        <w:t>65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%+C×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  <w:lang w:val="en-US" w:eastAsia="zh-CN"/>
        </w:rPr>
        <w:t>10</w:t>
      </w:r>
      <w:r>
        <w:rPr>
          <w:rFonts w:hint="eastAsia" w:ascii="仿宋_GB2312" w:eastAsia="仿宋_GB2312"/>
          <w:b/>
          <w:bCs/>
          <w:sz w:val="32"/>
          <w:szCs w:val="32"/>
          <w:highlight w:val="yellow"/>
        </w:rPr>
        <w:t>%</w:t>
      </w:r>
    </w:p>
    <w:p w14:paraId="26585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A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培养情况：A=A1（课程平均成绩）×40%+A2（培养过程中期考核）×60%，未修满规定学分及开题未通过者取消参评资格。（中期考核成绩按优秀=90分、合格=80分标准换算成百分制）</w:t>
      </w:r>
    </w:p>
    <w:p w14:paraId="25460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B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科学研究与学术活动</w:t>
      </w:r>
    </w:p>
    <w:p w14:paraId="0B873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C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加分项目</w:t>
      </w:r>
    </w:p>
    <w:p w14:paraId="5CB5194C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六、具体细则</w:t>
      </w:r>
    </w:p>
    <w:p w14:paraId="2A985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（一）科学研究与学术活动</w:t>
      </w:r>
    </w:p>
    <w:p w14:paraId="31CAC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成果发表</w:t>
      </w:r>
    </w:p>
    <w:p w14:paraId="4BB43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成果发表是指发表在正规学术期刊、报纸、网络平台、论文集上的学术论文、理论文章、教育教学论文、会议论文。</w:t>
      </w:r>
      <w:r>
        <w:rPr>
          <w:rFonts w:hint="eastAsia" w:ascii="仿宋_GB2312" w:eastAsia="仿宋_GB2312"/>
          <w:sz w:val="32"/>
          <w:szCs w:val="32"/>
          <w:highlight w:val="yellow"/>
          <w:lang w:val="en-US" w:eastAsia="zh-CN"/>
        </w:rPr>
        <w:t>成果需</w:t>
      </w:r>
      <w:r>
        <w:rPr>
          <w:rFonts w:hint="eastAsia" w:ascii="仿宋_GB2312" w:eastAsia="仿宋_GB2312"/>
          <w:sz w:val="32"/>
          <w:szCs w:val="32"/>
          <w:highlight w:val="yellow"/>
        </w:rPr>
        <w:t>以吉首大学为第一署名单位</w:t>
      </w:r>
      <w:r>
        <w:rPr>
          <w:rFonts w:hint="eastAsia" w:ascii="仿宋_GB2312" w:eastAsia="仿宋_GB2312"/>
          <w:sz w:val="32"/>
          <w:szCs w:val="32"/>
          <w:highlight w:val="yellow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highlight w:val="yellow"/>
        </w:rPr>
        <w:t>本人为一作或</w:t>
      </w:r>
      <w:r>
        <w:rPr>
          <w:rFonts w:hint="eastAsia" w:ascii="仿宋_GB2312" w:eastAsia="仿宋_GB2312"/>
          <w:sz w:val="32"/>
          <w:szCs w:val="32"/>
          <w:highlight w:val="yellow"/>
          <w:lang w:val="en-US" w:eastAsia="zh-CN"/>
        </w:rPr>
        <w:t>本人导师一作本人二作；</w:t>
      </w:r>
      <w:r>
        <w:rPr>
          <w:rFonts w:hint="eastAsia" w:ascii="仿宋_GB2312" w:eastAsia="仿宋_GB2312"/>
          <w:sz w:val="32"/>
          <w:szCs w:val="32"/>
          <w:highlight w:val="magenta"/>
          <w:u w:val="single"/>
        </w:rPr>
        <w:t>见刊后方可计分，</w:t>
      </w:r>
      <w:r>
        <w:rPr>
          <w:rFonts w:hint="eastAsia" w:ascii="仿宋_GB2312" w:eastAsia="仿宋_GB2312"/>
          <w:color w:val="auto"/>
          <w:sz w:val="32"/>
          <w:szCs w:val="32"/>
        </w:rPr>
        <w:t>并提供复印件（应含封面、目录页、正文所在页、封底）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录用通知或用稿通知不计入分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</w:rPr>
        <w:t>同一篇论文被多次收录或转载，只计一次最高分。</w:t>
      </w:r>
    </w:p>
    <w:p w14:paraId="061EE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成果发表</w:t>
      </w:r>
      <w:r>
        <w:rPr>
          <w:rFonts w:hint="eastAsia" w:ascii="仿宋_GB2312" w:eastAsia="仿宋_GB2312"/>
          <w:color w:val="auto"/>
          <w:sz w:val="32"/>
          <w:szCs w:val="32"/>
        </w:rPr>
        <w:t>在CSSCI期刊及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auto"/>
          <w:sz w:val="32"/>
          <w:szCs w:val="32"/>
        </w:rPr>
        <w:t>人民日报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》《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光明日报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》《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经济日报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》《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中国教育报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》《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中国社会科学报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国家级官方媒体，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每篇</w:t>
      </w:r>
      <w:r>
        <w:rPr>
          <w:rFonts w:hint="eastAsia" w:ascii="仿宋_GB2312" w:eastAsia="仿宋_GB2312"/>
          <w:color w:val="auto"/>
          <w:sz w:val="32"/>
          <w:szCs w:val="32"/>
        </w:rPr>
        <w:t>加30分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</w:p>
    <w:p w14:paraId="3B3AD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成果发表在</w:t>
      </w:r>
      <w:r>
        <w:rPr>
          <w:rFonts w:hint="eastAsia" w:ascii="仿宋_GB2312" w:eastAsia="仿宋_GB2312"/>
          <w:color w:val="auto"/>
          <w:sz w:val="32"/>
          <w:szCs w:val="32"/>
        </w:rPr>
        <w:t>北大核心期刊及省级日报理论版与智库版，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每篇</w:t>
      </w:r>
      <w:r>
        <w:rPr>
          <w:rFonts w:hint="eastAsia" w:ascii="仿宋_GB2312" w:eastAsia="仿宋_GB2312"/>
          <w:color w:val="auto"/>
          <w:sz w:val="32"/>
          <w:szCs w:val="32"/>
        </w:rPr>
        <w:t>加20分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</w:p>
    <w:p w14:paraId="5908E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成果发表</w:t>
      </w:r>
      <w:r>
        <w:rPr>
          <w:rFonts w:hint="eastAsia" w:ascii="仿宋_GB2312" w:eastAsia="仿宋_GB2312"/>
          <w:color w:val="auto"/>
          <w:sz w:val="32"/>
          <w:szCs w:val="32"/>
        </w:rPr>
        <w:t>在一般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学术</w:t>
      </w:r>
      <w:r>
        <w:rPr>
          <w:rFonts w:hint="eastAsia" w:ascii="仿宋_GB2312" w:eastAsia="仿宋_GB2312"/>
          <w:color w:val="auto"/>
          <w:sz w:val="32"/>
          <w:szCs w:val="32"/>
        </w:rPr>
        <w:t>期刊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  <w:lang w:val="en-US" w:eastAsia="zh-CN"/>
        </w:rPr>
        <w:t>需有正规CN号）</w:t>
      </w:r>
      <w:r>
        <w:rPr>
          <w:rFonts w:hint="eastAsia" w:ascii="仿宋_GB2312" w:eastAsia="仿宋_GB2312"/>
          <w:color w:val="auto"/>
          <w:sz w:val="32"/>
          <w:szCs w:val="32"/>
        </w:rPr>
        <w:t>，被中国知网收录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每篇</w:t>
      </w:r>
      <w:r>
        <w:rPr>
          <w:rFonts w:hint="eastAsia" w:ascii="仿宋_GB2312" w:eastAsia="仿宋_GB2312"/>
          <w:color w:val="auto"/>
          <w:sz w:val="32"/>
          <w:szCs w:val="32"/>
        </w:rPr>
        <w:t>加10分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仅被</w:t>
      </w:r>
      <w:r>
        <w:rPr>
          <w:rFonts w:hint="eastAsia" w:ascii="仿宋_GB2312" w:eastAsia="仿宋_GB2312"/>
          <w:color w:val="auto"/>
          <w:sz w:val="32"/>
          <w:szCs w:val="32"/>
        </w:rPr>
        <w:t>万方数据库、维普数据库收录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每篇</w:t>
      </w:r>
      <w:r>
        <w:rPr>
          <w:rFonts w:hint="eastAsia" w:ascii="仿宋_GB2312" w:eastAsia="仿宋_GB2312"/>
          <w:color w:val="auto"/>
          <w:sz w:val="32"/>
          <w:szCs w:val="32"/>
        </w:rPr>
        <w:t>加8分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</w:p>
    <w:p w14:paraId="1E341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成果发表</w:t>
      </w:r>
      <w:r>
        <w:rPr>
          <w:rFonts w:hint="eastAsia" w:ascii="仿宋_GB2312" w:eastAsia="仿宋_GB2312"/>
          <w:color w:val="auto"/>
          <w:sz w:val="32"/>
          <w:szCs w:val="32"/>
        </w:rPr>
        <w:t>地、市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州日报</w:t>
      </w:r>
      <w:r>
        <w:rPr>
          <w:rFonts w:hint="eastAsia" w:ascii="仿宋_GB2312" w:eastAsia="仿宋_GB2312"/>
          <w:color w:val="auto"/>
          <w:sz w:val="32"/>
          <w:szCs w:val="32"/>
        </w:rPr>
        <w:t>理论版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，每篇</w:t>
      </w:r>
      <w:r>
        <w:rPr>
          <w:rFonts w:hint="eastAsia" w:ascii="仿宋_GB2312" w:eastAsia="仿宋_GB2312"/>
          <w:color w:val="auto"/>
          <w:sz w:val="32"/>
          <w:szCs w:val="32"/>
        </w:rPr>
        <w:t>加5分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yellow"/>
          <w:lang w:val="en-US" w:eastAsia="zh-CN"/>
        </w:rPr>
        <w:t>每学年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  <w:lang w:val="en-US" w:eastAsia="zh-CN"/>
        </w:rPr>
        <w:t>限报2篇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</w:p>
    <w:p w14:paraId="5C8A9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成果发表</w:t>
      </w:r>
      <w:r>
        <w:rPr>
          <w:rFonts w:hint="eastAsia" w:ascii="仿宋_GB2312" w:eastAsia="仿宋_GB2312"/>
          <w:color w:val="auto"/>
          <w:sz w:val="32"/>
          <w:szCs w:val="32"/>
        </w:rPr>
        <w:t>新湖南、红网、学习强国等省级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及</w:t>
      </w:r>
      <w:r>
        <w:rPr>
          <w:rFonts w:hint="eastAsia" w:ascii="仿宋_GB2312" w:eastAsia="仿宋_GB2312"/>
          <w:color w:val="auto"/>
          <w:sz w:val="32"/>
          <w:szCs w:val="32"/>
        </w:rPr>
        <w:t>以上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网络平台，每篇</w:t>
      </w:r>
      <w:r>
        <w:rPr>
          <w:rFonts w:hint="eastAsia" w:ascii="仿宋_GB2312" w:eastAsia="仿宋_GB2312"/>
          <w:color w:val="auto"/>
          <w:sz w:val="32"/>
          <w:szCs w:val="32"/>
        </w:rPr>
        <w:t>加2分，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yellow"/>
          <w:lang w:val="en-US" w:eastAsia="zh-CN"/>
        </w:rPr>
        <w:t>每学年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限报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篇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</w:p>
    <w:p w14:paraId="5717A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成果被收入不设评奖等级、未公开出版的会议论文集，每篇加1分，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每学年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限报3篇；论文被收入公开出版的会议论文集，每篇加10分。</w:t>
      </w:r>
    </w:p>
    <w:p w14:paraId="0A2D7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/>
          <w:bCs/>
          <w:sz w:val="32"/>
          <w:szCs w:val="32"/>
        </w:rPr>
        <w:t>论文获奖</w:t>
      </w:r>
    </w:p>
    <w:p w14:paraId="0B959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参加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学术会议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研究生创新论坛，论文被评为优秀奖（不设评奖等级），一篇加1分；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以同一篇论文参加多次学术并多次获奖，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yellow"/>
          <w14:textFill>
            <w14:solidFill>
              <w14:schemeClr w14:val="tx1"/>
            </w14:solidFill>
          </w14:textFill>
        </w:rPr>
        <w:t>只计一次最高分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yellow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优秀奖、州（地级市）奖、校级奖每学年限报3项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成果需</w:t>
      </w:r>
      <w:r>
        <w:rPr>
          <w:rFonts w:hint="eastAsia" w:ascii="仿宋_GB2312" w:eastAsia="仿宋_GB2312"/>
          <w:sz w:val="32"/>
          <w:szCs w:val="32"/>
        </w:rPr>
        <w:t>以吉首大学为第一署名单位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本人为一作或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本人导师一作本人二作。）（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其他尚未规定的相关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论文获奖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由学院评审组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审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定。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）</w:t>
      </w:r>
    </w:p>
    <w:tbl>
      <w:tblPr>
        <w:tblStyle w:val="2"/>
        <w:tblW w:w="8325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5"/>
        <w:gridCol w:w="1702"/>
        <w:gridCol w:w="1958"/>
        <w:gridCol w:w="2230"/>
      </w:tblGrid>
      <w:tr w14:paraId="3578E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0D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2" w:firstLineChars="200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奖励类别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5F5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国家级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82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省、部级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7B4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州、校级</w:t>
            </w:r>
          </w:p>
        </w:tc>
      </w:tr>
      <w:tr w14:paraId="13655C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8C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一等奖或特等奖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03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BD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FD9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</w:tr>
      <w:tr w14:paraId="71C9F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909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4A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50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5C9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</w:tr>
      <w:tr w14:paraId="1C349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0C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977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1F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ABF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</w:tr>
    </w:tbl>
    <w:p w14:paraId="31136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.科研项目</w:t>
      </w:r>
    </w:p>
    <w:p w14:paraId="4FA1E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科研项目以立项文件及结题证明为依据，主持项目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数量</w:t>
      </w:r>
      <w:r>
        <w:rPr>
          <w:rFonts w:hint="eastAsia" w:ascii="仿宋_GB2312" w:eastAsia="仿宋_GB2312"/>
          <w:color w:val="auto"/>
          <w:sz w:val="32"/>
          <w:szCs w:val="32"/>
        </w:rPr>
        <w:t>不限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参与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  <w:lang w:val="en-US" w:eastAsia="zh-CN"/>
        </w:rPr>
        <w:t>他人主持的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项目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yellow"/>
          <w:lang w:val="en-US" w:eastAsia="zh-CN"/>
        </w:rPr>
        <w:t>每学年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限报2项</w:t>
      </w:r>
      <w:r>
        <w:rPr>
          <w:rFonts w:hint="eastAsia" w:ascii="仿宋_GB2312" w:eastAsia="仿宋_GB2312"/>
          <w:color w:val="auto"/>
          <w:sz w:val="32"/>
          <w:szCs w:val="32"/>
        </w:rPr>
        <w:t>；参与校外老师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主持的</w:t>
      </w:r>
      <w:r>
        <w:rPr>
          <w:rFonts w:hint="eastAsia" w:ascii="仿宋_GB2312" w:eastAsia="仿宋_GB2312"/>
          <w:color w:val="auto"/>
          <w:sz w:val="32"/>
          <w:szCs w:val="32"/>
        </w:rPr>
        <w:t>项目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不计入评审范围；参与人员中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有已毕业学生，其占比分值归项目主持人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项目成员有老师，其占比分值归老师；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  <w:lang w:val="en-US" w:eastAsia="zh-CN"/>
        </w:rPr>
        <w:t>立项分值、结项分值依据项目组成员的排名，按比例分配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，其中项目负责人或主持人排名第一。</w:t>
      </w:r>
    </w:p>
    <w:p w14:paraId="11DD9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（1）立项分值</w:t>
      </w:r>
    </w:p>
    <w:p w14:paraId="7CBEA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立项分在立项当年一次性计算，原则上排名第五以后者不予计分。项目立项分由项目负责人和参与人员按比例分配，具体分配比例为：二人的分别为70%、30%；三人的分别为50%、30%、20%；四人的分别为50%、20%、20%、10%；五人的分别为50%、20%、10%、10%、10%。</w:t>
      </w:r>
    </w:p>
    <w:p w14:paraId="3A200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（2）结项分值</w:t>
      </w:r>
    </w:p>
    <w:p w14:paraId="78EEF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项目结题分在该项目结题当年一次性计算，分值由项目组人员按比例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分配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项目负责人</w:t>
      </w:r>
      <w:r>
        <w:rPr>
          <w:rFonts w:hint="eastAsia" w:ascii="仿宋_GB2312" w:eastAsia="仿宋_GB2312"/>
          <w:sz w:val="32"/>
          <w:szCs w:val="32"/>
        </w:rPr>
        <w:t>占60%，参加人员平均分配40%。</w:t>
      </w:r>
    </w:p>
    <w:tbl>
      <w:tblPr>
        <w:tblStyle w:val="2"/>
        <w:tblW w:w="9113" w:type="dxa"/>
        <w:tblInd w:w="-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6"/>
        <w:gridCol w:w="1107"/>
        <w:gridCol w:w="1150"/>
      </w:tblGrid>
      <w:tr w14:paraId="4618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74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项目类别（以《吉首大学科研经费配套管理办法》为准）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58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立项</w:t>
            </w:r>
          </w:p>
          <w:p w14:paraId="557C4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分值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B5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结题</w:t>
            </w:r>
          </w:p>
          <w:p w14:paraId="28EA7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分值</w:t>
            </w:r>
          </w:p>
        </w:tc>
      </w:tr>
      <w:tr w14:paraId="3C8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</w:trPr>
        <w:tc>
          <w:tcPr>
            <w:tcW w:w="6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4B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国家级：国家自科基金项目、国家社科基金项目、国家软科学项目、国家“973”“863”计划项目、国家科技支撑计划、科技基础条件平台建设计划、重大专项、国家教育科学规划项目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3A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≦20分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13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≦30分</w:t>
            </w:r>
          </w:p>
        </w:tc>
      </w:tr>
      <w:tr w14:paraId="77F12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6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7E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省部级：科技部其他项目、国家级项目子课题（以正式下达吉首大学的立项批文和课题申报书为准）、教育部项目、省自科基金项目、省社科基金项目、省社科联项目、省软科学项目、省教育科学规划项目、省教研教改课题、省研究生创新课题等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DE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分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EA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≦20分</w:t>
            </w:r>
          </w:p>
        </w:tc>
      </w:tr>
      <w:tr w14:paraId="42CF9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8C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州科技局计划项目、州社科联课题、校级科研课题、教研教改课题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6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≦5分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13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28"/>
                <w:szCs w:val="28"/>
              </w:rPr>
              <w:t>分</w:t>
            </w:r>
          </w:p>
        </w:tc>
      </w:tr>
    </w:tbl>
    <w:p w14:paraId="30EF3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b/>
          <w:bCs/>
          <w:sz w:val="32"/>
          <w:szCs w:val="32"/>
        </w:rPr>
        <w:t>竞赛活动</w:t>
      </w:r>
    </w:p>
    <w:p w14:paraId="65279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（1）专业竞赛</w:t>
      </w:r>
    </w:p>
    <w:p w14:paraId="3AE03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教学技能大赛、挑战杯全国大学生课外学术科技作品竞赛、挑战杯中国大学生创业计划竞赛、中国国际大学生创新大赛等其他专业竞赛参照加分。</w:t>
      </w:r>
      <w:r>
        <w:rPr>
          <w:rFonts w:hint="eastAsia" w:ascii="仿宋_GB2312" w:eastAsia="仿宋_GB2312"/>
          <w:color w:val="auto"/>
          <w:sz w:val="32"/>
          <w:szCs w:val="32"/>
        </w:rPr>
        <w:t>同一项目重复获奖的，按最高类别计算。共同参与合作的获奖分值根据负责人和参与人员按比例分配，具体分配比例为：二人的分别为70%、30%；三人的分别为50%、30%、20%；四人的分别为50%、20%、20%、10%；五人的分别为50%、20%、10%、10%、10%，排名在第五以后的不予计分。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所获奖项为团体奖，但排名不分先后的，所有获奖成员平均分配最高加分分值。</w:t>
      </w:r>
    </w:p>
    <w:tbl>
      <w:tblPr>
        <w:tblStyle w:val="2"/>
        <w:tblW w:w="4873" w:type="pct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1202"/>
        <w:gridCol w:w="1416"/>
        <w:gridCol w:w="1844"/>
        <w:gridCol w:w="1319"/>
      </w:tblGrid>
      <w:tr w14:paraId="611BE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C7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获奖级别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E5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国家级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3A9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省、部级</w:t>
            </w:r>
          </w:p>
        </w:tc>
        <w:tc>
          <w:tcPr>
            <w:tcW w:w="1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AD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州、校级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91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学院</w:t>
            </w:r>
          </w:p>
        </w:tc>
      </w:tr>
      <w:tr w14:paraId="0ADA3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FE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80" w:firstLineChars="1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一等或特等奖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A0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≦20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5E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≦12</w:t>
            </w:r>
          </w:p>
        </w:tc>
        <w:tc>
          <w:tcPr>
            <w:tcW w:w="1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65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≦6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03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≦1.5</w:t>
            </w:r>
          </w:p>
        </w:tc>
      </w:tr>
      <w:tr w14:paraId="76F73B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18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40" w:firstLineChars="3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41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≦16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E4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≦10</w:t>
            </w:r>
          </w:p>
        </w:tc>
        <w:tc>
          <w:tcPr>
            <w:tcW w:w="1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72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≦4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9D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80" w:firstLineChars="1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≦1</w:t>
            </w:r>
          </w:p>
        </w:tc>
      </w:tr>
      <w:tr w14:paraId="265FD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54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40" w:firstLineChars="3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DD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≦12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953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≦8</w:t>
            </w:r>
          </w:p>
        </w:tc>
        <w:tc>
          <w:tcPr>
            <w:tcW w:w="1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24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≦3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49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≦0.5</w:t>
            </w:r>
          </w:p>
        </w:tc>
      </w:tr>
      <w:tr w14:paraId="2F4EA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17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四等或优秀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4E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≦10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9D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≦6</w:t>
            </w:r>
          </w:p>
        </w:tc>
        <w:tc>
          <w:tcPr>
            <w:tcW w:w="1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14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≦2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61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78A2B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（2）非专业竞赛</w:t>
      </w:r>
    </w:p>
    <w:p w14:paraId="14CB3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none"/>
        </w:rPr>
        <w:t>挑战杯主持人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大</w:t>
      </w:r>
      <w:r>
        <w:rPr>
          <w:rFonts w:hint="eastAsia" w:ascii="仿宋_GB2312" w:eastAsia="仿宋_GB2312"/>
          <w:sz w:val="32"/>
          <w:szCs w:val="32"/>
          <w:u w:val="none"/>
        </w:rPr>
        <w:t>赛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校级及以上运动会、校级及以上英语相关竞赛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等其他非专业竞赛参照加分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同一项目重复获奖的，按最高类别计算。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限报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项最具代表性的奖励，超出的项目不计分。</w:t>
      </w:r>
      <w:r>
        <w:rPr>
          <w:rFonts w:hint="eastAsia" w:ascii="仿宋_GB2312" w:eastAsia="仿宋_GB2312"/>
          <w:color w:val="auto"/>
          <w:sz w:val="32"/>
          <w:szCs w:val="32"/>
        </w:rPr>
        <w:t>共同参与合作的获奖分值根据负责人和参与人员按比例分配，具体分配比例为：二人的分别为70%、30%；三人的分别为50%、30%、20%；四人的分别为50%、20%、20%、10%；五人的分别为50%、20%、10%、10%、10%，排名在第五以后的不予计分。所获奖项为团体奖，但排名不分先后的，所有获奖成员平均分配最高加分分值。</w:t>
      </w:r>
    </w:p>
    <w:tbl>
      <w:tblPr>
        <w:tblStyle w:val="2"/>
        <w:tblW w:w="8325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1764"/>
        <w:gridCol w:w="1639"/>
        <w:gridCol w:w="2230"/>
      </w:tblGrid>
      <w:tr w14:paraId="6B44A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AE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获奖类别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DE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国家级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A8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省、部级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C8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州、校级</w:t>
            </w:r>
          </w:p>
        </w:tc>
      </w:tr>
      <w:tr w14:paraId="4F419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38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一等奖或特等奖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34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C4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5A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</w:tr>
      <w:tr w14:paraId="47E81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4A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E2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15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1.5</w:t>
            </w:r>
          </w:p>
        </w:tc>
      </w:tr>
      <w:tr w14:paraId="5C8EF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A6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1E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0E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00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</w:tr>
      <w:tr w14:paraId="05A96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4B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优秀奖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1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6E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1.5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4D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0.5</w:t>
            </w:r>
          </w:p>
        </w:tc>
      </w:tr>
    </w:tbl>
    <w:p w14:paraId="39120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（二）加分项目</w:t>
      </w:r>
    </w:p>
    <w:p w14:paraId="0FCB9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1.社会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实践</w:t>
      </w:r>
      <w:r>
        <w:rPr>
          <w:rFonts w:hint="eastAsia" w:ascii="仿宋_GB2312" w:eastAsia="仿宋_GB2312"/>
          <w:b/>
          <w:bCs/>
          <w:sz w:val="32"/>
          <w:szCs w:val="32"/>
        </w:rPr>
        <w:t>活动</w:t>
      </w:r>
    </w:p>
    <w:p w14:paraId="0D8DE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参加校外实习，被实习单位考核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eastAsia="仿宋_GB2312"/>
          <w:sz w:val="32"/>
          <w:szCs w:val="32"/>
        </w:rPr>
        <w:t>优秀者，加0.5分；</w:t>
      </w:r>
    </w:p>
    <w:p w14:paraId="5357D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承担</w:t>
      </w:r>
      <w:r>
        <w:rPr>
          <w:rFonts w:hint="eastAsia" w:ascii="仿宋_GB2312" w:eastAsia="仿宋_GB2312"/>
          <w:sz w:val="32"/>
          <w:szCs w:val="32"/>
        </w:rPr>
        <w:t>与专业相关的社会实践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color w:val="auto"/>
          <w:sz w:val="32"/>
          <w:szCs w:val="32"/>
        </w:rPr>
        <w:t>（同类活动限报一项）</w:t>
      </w:r>
      <w:r>
        <w:rPr>
          <w:rFonts w:hint="eastAsia" w:ascii="仿宋_GB2312" w:eastAsia="仿宋_GB2312"/>
          <w:sz w:val="32"/>
          <w:szCs w:val="32"/>
        </w:rPr>
        <w:t>，州校级主持人加1分，成员加0.5分；省部级主持人加2分，成员加1分</w:t>
      </w:r>
      <w:r>
        <w:rPr>
          <w:rFonts w:hint="eastAsia" w:ascii="仿宋_GB2312" w:eastAsia="仿宋_GB2312"/>
          <w:color w:val="auto"/>
          <w:sz w:val="32"/>
          <w:szCs w:val="32"/>
        </w:rPr>
        <w:t>；</w:t>
      </w:r>
    </w:p>
    <w:p w14:paraId="395CD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“星火”宣讲主讲人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一次加0.3分，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主持、宣传、策划（多人负责以第一负责人加分为准）</w:t>
      </w:r>
      <w:r>
        <w:rPr>
          <w:rFonts w:hint="eastAsia" w:ascii="仿宋_GB2312" w:eastAsia="仿宋_GB2312"/>
          <w:color w:val="auto"/>
          <w:sz w:val="32"/>
          <w:szCs w:val="32"/>
        </w:rPr>
        <w:t>一次加0.1分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01576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yellow"/>
          <w:lang w:val="en-US" w:eastAsia="zh-CN"/>
        </w:rPr>
        <w:t>社会实践活动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最高加1.5分。</w:t>
      </w:r>
    </w:p>
    <w:p w14:paraId="1202B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2.志愿服务活动</w:t>
      </w:r>
    </w:p>
    <w:p w14:paraId="31712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u w:val="none"/>
        </w:rPr>
      </w:pP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在学院组织的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招生复试、迎新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大型学术会议、评估工作等突击性、重要、重大的工作或活动中从事志愿服务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活动，</w:t>
      </w:r>
      <w:r>
        <w:rPr>
          <w:rFonts w:hint="eastAsia" w:ascii="仿宋_GB2312" w:eastAsia="仿宋_GB2312"/>
          <w:color w:val="auto"/>
          <w:sz w:val="32"/>
          <w:szCs w:val="32"/>
        </w:rPr>
        <w:t>一次加0.3分，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元旦晚会初选加0.1分，正式演出人员和工作人员加0.3分。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其他尚未规定的相关活动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由学院评审组认定。</w:t>
      </w:r>
    </w:p>
    <w:p w14:paraId="0C318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highlight w:val="yellow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yellow"/>
          <w:u w:val="none"/>
          <w:lang w:val="en-US" w:eastAsia="zh-CN"/>
        </w:rPr>
        <w:t>志愿服务活动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最高加1分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  <w:lang w:eastAsia="zh-CN"/>
        </w:rPr>
        <w:t>。</w:t>
      </w:r>
    </w:p>
    <w:p w14:paraId="634CC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3.优秀荣誉</w:t>
      </w:r>
    </w:p>
    <w:p w14:paraId="14A38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highlight w:val="yellow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三好学生、优秀学生干部、优秀学生党员、优秀共青团员、先进个人，省级及以上加2分，校级及以上一项加1分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团体荣誉由成员平分分值，如百优宿舍等其他优秀荣誉参照加分）</w:t>
      </w:r>
      <w:r>
        <w:rPr>
          <w:rFonts w:hint="eastAsia" w:ascii="仿宋_GB2312" w:eastAsia="仿宋_GB2312"/>
          <w:color w:val="auto"/>
          <w:sz w:val="32"/>
          <w:szCs w:val="32"/>
        </w:rPr>
        <w:t>，院级一项加0.5分，</w:t>
      </w:r>
      <w:r>
        <w:rPr>
          <w:rFonts w:hint="eastAsia" w:ascii="仿宋_GB2312" w:eastAsia="仿宋_GB2312"/>
          <w:color w:val="auto"/>
          <w:sz w:val="32"/>
          <w:szCs w:val="32"/>
          <w:highlight w:val="yellow"/>
        </w:rPr>
        <w:t>最高加3分（同类荣誉限报一项）。</w:t>
      </w:r>
    </w:p>
    <w:p w14:paraId="61419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4.研究生干部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工作满一年且考核合格者）</w:t>
      </w:r>
    </w:p>
    <w:tbl>
      <w:tblPr>
        <w:tblStyle w:val="2"/>
        <w:tblW w:w="8259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4368"/>
        <w:gridCol w:w="2364"/>
      </w:tblGrid>
      <w:tr w14:paraId="25CB71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C3BB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干部职务</w:t>
            </w:r>
          </w:p>
        </w:tc>
        <w:tc>
          <w:tcPr>
            <w:tcW w:w="43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E05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校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院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研究生会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分会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主席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团成员</w:t>
            </w:r>
          </w:p>
        </w:tc>
        <w:tc>
          <w:tcPr>
            <w:tcW w:w="2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009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其他研究生干部</w:t>
            </w:r>
          </w:p>
        </w:tc>
      </w:tr>
      <w:tr w14:paraId="28DEE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DE2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最高</w:t>
            </w:r>
          </w:p>
          <w:p w14:paraId="4D704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加分分值</w:t>
            </w:r>
          </w:p>
        </w:tc>
        <w:tc>
          <w:tcPr>
            <w:tcW w:w="43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686C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D1D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</w:tr>
      <w:tr w14:paraId="599FB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1E0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党务职务</w:t>
            </w:r>
          </w:p>
        </w:tc>
        <w:tc>
          <w:tcPr>
            <w:tcW w:w="43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BFF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党支部书记、副书记</w:t>
            </w:r>
          </w:p>
        </w:tc>
        <w:tc>
          <w:tcPr>
            <w:tcW w:w="2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EE7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支部委员</w:t>
            </w:r>
          </w:p>
        </w:tc>
      </w:tr>
      <w:tr w14:paraId="5F6865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FBDE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最高</w:t>
            </w:r>
          </w:p>
          <w:p w14:paraId="141F8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加分分值</w:t>
            </w:r>
          </w:p>
        </w:tc>
        <w:tc>
          <w:tcPr>
            <w:tcW w:w="43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7A75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F5F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68C9B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（三）减分项目</w:t>
      </w:r>
    </w:p>
    <w:p w14:paraId="1ECA6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学校或学院要求参加的公开活动或学术会议请假减0.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分/次，缺勤减0.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分/次。课堂考勤请假0.1/1学时，缺勤0.25分/1学时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学术沙龙缺勤0.1/次</w:t>
      </w:r>
      <w:r>
        <w:rPr>
          <w:rFonts w:hint="eastAsia" w:ascii="仿宋_GB2312" w:eastAsia="仿宋_GB2312"/>
          <w:color w:val="auto"/>
          <w:sz w:val="32"/>
          <w:szCs w:val="32"/>
        </w:rPr>
        <w:t>（特殊情况由评审组认定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后不予扣分，须严格遵循正规请假制度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</w:p>
    <w:p w14:paraId="56971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（四）其他</w:t>
      </w:r>
    </w:p>
    <w:p w14:paraId="7E731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受到违纪处分者、违反学术道德规范且经认定者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弄虚作假且经查实者，</w:t>
      </w:r>
      <w:r>
        <w:rPr>
          <w:rFonts w:hint="eastAsia" w:ascii="仿宋_GB2312" w:eastAsia="仿宋_GB2312"/>
          <w:sz w:val="32"/>
          <w:szCs w:val="32"/>
        </w:rPr>
        <w:t>不得参加奖学金和各项先进的评比。</w:t>
      </w:r>
    </w:p>
    <w:p w14:paraId="1F64AA3B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七、测评结果及应用</w:t>
      </w:r>
    </w:p>
    <w:p w14:paraId="73E35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（一）测评结果</w:t>
      </w:r>
    </w:p>
    <w:p w14:paraId="737A4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根据研究生综合测评成绩，由高分到低分测评级别划分为：A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B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C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D四个等级。</w:t>
      </w:r>
    </w:p>
    <w:p w14:paraId="351FE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（二）应用</w:t>
      </w:r>
    </w:p>
    <w:p w14:paraId="23EC9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1.测评为A、B、C等级者，分别评定为一等、二等、三等学业奖学金获得者。</w:t>
      </w:r>
    </w:p>
    <w:p w14:paraId="47733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2.测评为A或B等级者，将作为省、校优秀毕业生或省、校研究生三好学生奖的候选人。</w:t>
      </w:r>
    </w:p>
    <w:p w14:paraId="2AA3C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3.在核心期刊上发表论文、独立出版专著或独立承担国家级研究课题的研究生，可参选吉首大学研究生学术奖。</w:t>
      </w:r>
    </w:p>
    <w:p w14:paraId="677DEDB5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八、研究生奖助对象及标准、研究生奖学金评选条件、研究生助学金申请条件见附则</w:t>
      </w:r>
    </w:p>
    <w:p w14:paraId="651536DB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九、本办法自2025年1月起实施，学校另有存在规定的，以学校文件为准。</w:t>
      </w:r>
    </w:p>
    <w:p w14:paraId="79E6644B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十、本办法由马克思主义学院研究生办负责解释。</w:t>
      </w:r>
    </w:p>
    <w:p w14:paraId="0AB5B458">
      <w:pPr>
        <w:tabs>
          <w:tab w:val="left" w:pos="2166"/>
        </w:tabs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84CDDD-DF6F-402C-9665-EDFBBD69E8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084E3B5-9B23-43CA-BC25-C6E9974F6FE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E1D0398-95D0-480D-A1C5-4B0DC6D1DBE1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FDC24AE4-6C11-47DD-9BD7-17DA3067D49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47FF2"/>
    <w:rsid w:val="3C04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60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2026-05-14T14:37:00Z</dcterms:created>
  <dc:creator>WPS_1520593114</dc:creator>
  <cp:lastModifiedBy>WPS_1520593114</cp:lastModifiedBy>
  <dcterms:modified xsi:type="dcterms:W3CDTF">2026-05-14T15:37:57Z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C5DA55D5B9034CBF8E9F5E23ACA4A982_11</vt:lpwstr>
  </property>
  <property fmtid="{D5CDD505-2E9C-101B-9397-08002B2CF9AE}" pid="4" name="KSOTemplateDocerSaveRecord">
    <vt:lpwstr>eyJoZGlkIjoiYTE4YWM3NDE1MGNiMmJmZWQ5NmNkMGQ1ZGFmYWQ4ZDkiLCJ1c2VySWQiOiIzNTA3ODk1NzMifQ==</vt:lpwstr>
  </property>
</Properties>
</file>