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hint="eastAsia" w:ascii="方正小标宋简体" w:hAnsi="华文中宋" w:eastAsia="方正小标宋简体"/>
          <w:color w:val="FF0000"/>
          <w:w w:val="84"/>
          <w:sz w:val="148"/>
          <w:szCs w:val="148"/>
        </w:rPr>
      </w:pPr>
      <w:r>
        <w:rPr>
          <w:rFonts w:hint="eastAsia" w:ascii="方正小标宋简体" w:hAnsi="华文中宋" w:eastAsia="方正小标宋简体"/>
          <w:color w:val="FF0000"/>
          <w:w w:val="84"/>
          <w:sz w:val="148"/>
          <w:szCs w:val="148"/>
        </w:rPr>
        <w:t>吉首大学文件</w:t>
      </w:r>
    </w:p>
    <w:p>
      <w:pPr>
        <w:rPr>
          <w:rFonts w:hint="eastAsia"/>
        </w:rPr>
      </w:pPr>
    </w:p>
    <w:p>
      <w:pPr>
        <w:jc w:val="center"/>
        <w:rPr>
          <w:rFonts w:hint="eastAsia" w:ascii="仿宋_GB2312" w:eastAsia="仿宋_GB2312"/>
          <w:sz w:val="32"/>
          <w:szCs w:val="32"/>
        </w:rPr>
      </w:pPr>
      <w:bookmarkStart w:id="0" w:name="文号"/>
      <w:r>
        <w:rPr>
          <w:rFonts w:hint="eastAsia" w:ascii="仿宋_GB2312" w:eastAsia="仿宋_GB2312"/>
          <w:sz w:val="32"/>
          <w:szCs w:val="32"/>
        </w:rPr>
        <w:t>吉大发〔2017〕41号</w:t>
      </w:r>
      <w:bookmarkEnd w:id="0"/>
    </w:p>
    <w:p>
      <w:pPr>
        <w:rPr>
          <w:rFonts w:hint="eastAsia"/>
        </w:rPr>
      </w:pPr>
      <w:r>
        <w:rPr>
          <w:rFonts w:hint="eastAsia"/>
        </w:rPr>
        <w:pict>
          <v:line id="_x0000_s1026" o:spid="_x0000_s1026" o:spt="20" style="position:absolute;left:0pt;margin-left:-3pt;margin-top:2.1pt;height:0pt;width:447.6pt;z-index:251658240;mso-width-relative:page;mso-height-relative:page;" filled="f" stroked="t" coordsize="21600,21600">
            <v:path arrowok="t"/>
            <v:fill on="f" focussize="0,0"/>
            <v:stroke weight="1.75pt" color="#FF0000"/>
            <v:imagedata o:title=""/>
            <o:lock v:ext="edit" aspectratio="f"/>
          </v:line>
        </w:pict>
      </w:r>
    </w:p>
    <w:p>
      <w:pPr>
        <w:rPr>
          <w:rFonts w:hint="eastAsia"/>
        </w:rPr>
      </w:pPr>
    </w:p>
    <w:p>
      <w:pPr>
        <w:spacing w:line="580" w:lineRule="exact"/>
        <w:jc w:val="center"/>
        <w:rPr>
          <w:rFonts w:ascii="方正小标宋简体" w:hAnsi="华文中宋" w:eastAsia="方正小标宋简体"/>
          <w:sz w:val="44"/>
          <w:szCs w:val="44"/>
        </w:rPr>
      </w:pPr>
      <w:r>
        <w:rPr>
          <w:rFonts w:hint="eastAsia" w:ascii="方正小标宋简体" w:hAnsi="华文中宋" w:eastAsia="方正小标宋简体" w:cs="方正小标宋简体"/>
          <w:sz w:val="44"/>
          <w:szCs w:val="44"/>
        </w:rPr>
        <w:t>吉</w:t>
      </w:r>
      <w:r>
        <w:rPr>
          <w:rFonts w:ascii="方正小标宋简体" w:hAnsi="华文中宋" w:eastAsia="方正小标宋简体" w:cs="方正小标宋简体"/>
          <w:sz w:val="44"/>
          <w:szCs w:val="44"/>
        </w:rPr>
        <w:t xml:space="preserve"> </w:t>
      </w:r>
      <w:r>
        <w:rPr>
          <w:rFonts w:hint="eastAsia" w:ascii="方正小标宋简体" w:hAnsi="华文中宋" w:eastAsia="方正小标宋简体" w:cs="方正小标宋简体"/>
          <w:sz w:val="44"/>
          <w:szCs w:val="44"/>
        </w:rPr>
        <w:t>首</w:t>
      </w:r>
      <w:r>
        <w:rPr>
          <w:rFonts w:ascii="方正小标宋简体" w:hAnsi="华文中宋" w:eastAsia="方正小标宋简体" w:cs="方正小标宋简体"/>
          <w:sz w:val="44"/>
          <w:szCs w:val="44"/>
        </w:rPr>
        <w:t xml:space="preserve"> </w:t>
      </w:r>
      <w:r>
        <w:rPr>
          <w:rFonts w:hint="eastAsia" w:ascii="方正小标宋简体" w:hAnsi="华文中宋" w:eastAsia="方正小标宋简体" w:cs="方正小标宋简体"/>
          <w:sz w:val="44"/>
          <w:szCs w:val="44"/>
        </w:rPr>
        <w:t>大</w:t>
      </w:r>
      <w:r>
        <w:rPr>
          <w:rFonts w:ascii="方正小标宋简体" w:hAnsi="华文中宋" w:eastAsia="方正小标宋简体" w:cs="方正小标宋简体"/>
          <w:sz w:val="44"/>
          <w:szCs w:val="44"/>
        </w:rPr>
        <w:t xml:space="preserve"> </w:t>
      </w:r>
      <w:r>
        <w:rPr>
          <w:rFonts w:hint="eastAsia" w:ascii="方正小标宋简体" w:hAnsi="华文中宋" w:eastAsia="方正小标宋简体" w:cs="方正小标宋简体"/>
          <w:sz w:val="44"/>
          <w:szCs w:val="44"/>
        </w:rPr>
        <w:t>学</w:t>
      </w: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关于印发《吉首大学研究生课程管理规定》等系列规章制度的通知</w:t>
      </w:r>
    </w:p>
    <w:p>
      <w:pPr>
        <w:spacing w:line="560" w:lineRule="exact"/>
        <w:rPr>
          <w:rFonts w:hint="eastAsia" w:ascii="仿宋_GB2312" w:hAnsi="宋体" w:eastAsia="仿宋_GB2312"/>
          <w:sz w:val="28"/>
          <w:szCs w:val="28"/>
        </w:rPr>
      </w:pPr>
    </w:p>
    <w:p>
      <w:pPr>
        <w:spacing w:line="580" w:lineRule="exact"/>
        <w:rPr>
          <w:rFonts w:hint="eastAsia" w:ascii="仿宋_GB2312" w:hAnsi="宋体" w:eastAsia="仿宋_GB2312"/>
          <w:sz w:val="32"/>
          <w:szCs w:val="32"/>
        </w:rPr>
      </w:pPr>
      <w:r>
        <w:rPr>
          <w:rFonts w:hint="eastAsia" w:ascii="仿宋_GB2312" w:hAnsi="宋体" w:eastAsia="仿宋_GB2312"/>
          <w:sz w:val="32"/>
          <w:szCs w:val="32"/>
        </w:rPr>
        <w:t>各学院、校部机关各单位：</w:t>
      </w:r>
    </w:p>
    <w:p>
      <w:pPr>
        <w:spacing w:line="580" w:lineRule="exact"/>
        <w:rPr>
          <w:rFonts w:hint="eastAsia" w:ascii="仿宋_GB2312" w:hAnsi="宋体" w:eastAsia="仿宋_GB2312"/>
          <w:sz w:val="32"/>
          <w:szCs w:val="32"/>
        </w:rPr>
      </w:pPr>
      <w:r>
        <w:rPr>
          <w:rFonts w:hint="eastAsia" w:ascii="仿宋_GB2312" w:hAnsi="宋体" w:eastAsia="仿宋_GB2312"/>
          <w:sz w:val="32"/>
          <w:szCs w:val="32"/>
        </w:rPr>
        <w:t xml:space="preserve">    为进一步规范研究生教育管理工作，学校制定或修订了《吉首大学研究生课程管理规定》等系列规章制度，经校务会研究通过，现将《吉首大学研究生课程管理规定》等系列规章制度印发给你们，请认真组织学习并贯彻实施。</w:t>
      </w:r>
    </w:p>
    <w:p>
      <w:pPr>
        <w:spacing w:line="560" w:lineRule="exact"/>
        <w:ind w:firstLine="560" w:firstLineChars="200"/>
        <w:rPr>
          <w:rFonts w:hint="eastAsia" w:ascii="仿宋_GB2312" w:hAnsi="宋体" w:eastAsia="仿宋_GB2312"/>
          <w:sz w:val="28"/>
          <w:szCs w:val="28"/>
        </w:rPr>
      </w:pPr>
    </w:p>
    <w:p>
      <w:pPr>
        <w:spacing w:line="560" w:lineRule="exact"/>
        <w:rPr>
          <w:rFonts w:hint="eastAsia" w:ascii="仿宋_GB2312" w:hAnsi="宋体" w:eastAsia="仿宋_GB2312"/>
          <w:sz w:val="28"/>
          <w:szCs w:val="28"/>
        </w:rPr>
      </w:pPr>
    </w:p>
    <w:p>
      <w:pPr>
        <w:spacing w:line="560" w:lineRule="exact"/>
        <w:ind w:firstLine="5280" w:firstLineChars="1650"/>
        <w:rPr>
          <w:rFonts w:hint="eastAsia" w:ascii="仿宋_GB2312" w:hAnsi="宋体" w:eastAsia="仿宋_GB2312"/>
          <w:sz w:val="32"/>
          <w:szCs w:val="32"/>
        </w:rPr>
      </w:pPr>
      <w:r>
        <w:rPr>
          <w:rFonts w:hint="eastAsia" w:ascii="仿宋_GB2312" w:hAnsi="宋体" w:eastAsia="仿宋_GB2312"/>
          <w:sz w:val="32"/>
          <w:szCs w:val="32"/>
        </w:rPr>
        <w:t>吉首大学</w:t>
      </w:r>
    </w:p>
    <w:p>
      <w:pPr>
        <w:spacing w:line="560" w:lineRule="exact"/>
        <w:ind w:firstLine="4800" w:firstLineChars="1500"/>
        <w:rPr>
          <w:rFonts w:hint="eastAsia" w:ascii="仿宋_GB2312" w:hAnsi="宋体" w:eastAsia="仿宋_GB2312"/>
          <w:sz w:val="32"/>
          <w:szCs w:val="32"/>
        </w:rPr>
      </w:pPr>
      <w:r>
        <w:rPr>
          <w:rFonts w:ascii="仿宋_GB2312" w:hAnsi="宋体" w:eastAsia="仿宋_GB2312"/>
          <w:sz w:val="32"/>
          <w:szCs w:val="32"/>
        </w:rPr>
        <w:t>2017年6月2日</w:t>
      </w:r>
    </w:p>
    <w:p>
      <w:pPr>
        <w:spacing w:line="560" w:lineRule="exact"/>
        <w:ind w:firstLine="560" w:firstLineChars="200"/>
        <w:rPr>
          <w:rFonts w:hint="eastAsia" w:ascii="仿宋_GB2312" w:hAnsi="宋体" w:eastAsia="仿宋_GB2312"/>
          <w:sz w:val="28"/>
          <w:szCs w:val="28"/>
        </w:rPr>
      </w:pPr>
    </w:p>
    <w:p>
      <w:pPr>
        <w:spacing w:line="580" w:lineRule="exact"/>
        <w:rPr>
          <w:rFonts w:hint="eastAsia" w:ascii="黑体" w:hAnsi="黑体" w:eastAsia="黑体"/>
          <w:sz w:val="32"/>
          <w:szCs w:val="32"/>
        </w:rPr>
      </w:pPr>
    </w:p>
    <w:p>
      <w:pPr>
        <w:spacing w:line="580" w:lineRule="exact"/>
        <w:rPr>
          <w:rFonts w:hint="eastAsia" w:ascii="黑体" w:hAnsi="黑体" w:eastAsia="黑体"/>
          <w:sz w:val="32"/>
          <w:szCs w:val="32"/>
        </w:rPr>
      </w:pPr>
    </w:p>
    <w:p>
      <w:pPr>
        <w:spacing w:line="580" w:lineRule="exact"/>
        <w:rPr>
          <w:rFonts w:hint="eastAsia" w:ascii="黑体" w:hAnsi="黑体" w:eastAsia="黑体"/>
          <w:sz w:val="32"/>
          <w:szCs w:val="32"/>
        </w:rPr>
      </w:pPr>
      <w:r>
        <w:rPr>
          <w:rFonts w:hint="eastAsia" w:ascii="黑体" w:hAnsi="黑体" w:eastAsia="黑体"/>
          <w:sz w:val="32"/>
          <w:szCs w:val="32"/>
        </w:rPr>
        <w:t>附件</w:t>
      </w:r>
    </w:p>
    <w:p>
      <w:pPr>
        <w:spacing w:line="58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《吉首大学研究生课程管理规定》等系列</w:t>
      </w:r>
    </w:p>
    <w:p>
      <w:pPr>
        <w:spacing w:line="58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规章制度目录</w:t>
      </w:r>
    </w:p>
    <w:p>
      <w:pPr>
        <w:spacing w:line="580" w:lineRule="exact"/>
        <w:ind w:firstLine="640" w:firstLineChars="200"/>
        <w:rPr>
          <w:rFonts w:hint="eastAsia" w:ascii="仿宋_GB2312" w:hAnsi="宋体" w:eastAsia="仿宋_GB2312"/>
          <w:sz w:val="32"/>
          <w:szCs w:val="32"/>
        </w:rPr>
      </w:pP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w:t>
      </w:r>
      <w:bookmarkStart w:id="1" w:name="_Toc144810634"/>
      <w:bookmarkStart w:id="2" w:name="_Toc167010054"/>
      <w:bookmarkStart w:id="3" w:name="_Toc138067875"/>
      <w:bookmarkStart w:id="4" w:name="_Toc138210983"/>
      <w:r>
        <w:rPr>
          <w:rFonts w:hint="eastAsia" w:ascii="仿宋_GB2312" w:hAnsi="宋体" w:eastAsia="仿宋_GB2312"/>
          <w:sz w:val="32"/>
          <w:szCs w:val="32"/>
        </w:rPr>
        <w:t>吉首大学研究生课程管理规定</w:t>
      </w:r>
      <w:bookmarkEnd w:id="1"/>
      <w:bookmarkEnd w:id="2"/>
      <w:bookmarkEnd w:id="3"/>
      <w:bookmarkEnd w:id="4"/>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2、吉首大学研究生教育督导工作条例</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3、吉首大学研究生学籍管理规定</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4、吉首大学硕士研究生导师遴选条例</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5、吉首大学优秀硕士学位论文评选办法</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6、吉首大学湖南省优秀学位论文推荐评选办法</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7、吉首大学研究生综合测评实施办法</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8、吉首大学研究生国家奖学金评审办法</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9、吉首大学研究生国家助学金评审办法</w:t>
      </w: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10、吉首大学研究生学业奖学金评审办法</w:t>
      </w:r>
    </w:p>
    <w:p>
      <w:pPr>
        <w:spacing w:line="580" w:lineRule="exact"/>
        <w:ind w:firstLine="640" w:firstLineChars="200"/>
        <w:rPr>
          <w:rFonts w:hint="eastAsia" w:ascii="仿宋_GB2312" w:eastAsia="仿宋_GB2312"/>
          <w:bCs/>
          <w:sz w:val="32"/>
          <w:szCs w:val="32"/>
        </w:rPr>
      </w:pPr>
    </w:p>
    <w:p>
      <w:pPr>
        <w:spacing w:line="580" w:lineRule="exact"/>
        <w:ind w:firstLine="640" w:firstLineChars="200"/>
        <w:rPr>
          <w:rFonts w:hint="eastAsia" w:ascii="仿宋_GB2312" w:hAnsi="宋体" w:eastAsia="仿宋_GB2312"/>
          <w:sz w:val="32"/>
          <w:szCs w:val="32"/>
        </w:rPr>
      </w:pPr>
    </w:p>
    <w:p>
      <w:pPr>
        <w:spacing w:line="560" w:lineRule="exact"/>
        <w:ind w:firstLine="560" w:firstLineChars="200"/>
        <w:rPr>
          <w:rFonts w:hint="eastAsia" w:ascii="仿宋_GB2312" w:hAnsi="宋体" w:eastAsia="仿宋_GB2312"/>
          <w:sz w:val="28"/>
          <w:szCs w:val="28"/>
        </w:rPr>
      </w:pPr>
    </w:p>
    <w:p>
      <w:pPr>
        <w:spacing w:line="560" w:lineRule="exact"/>
        <w:ind w:firstLine="560" w:firstLineChars="200"/>
        <w:rPr>
          <w:rFonts w:hint="eastAsia" w:ascii="仿宋_GB2312" w:hAnsi="宋体" w:eastAsia="仿宋_GB2312"/>
          <w:sz w:val="28"/>
          <w:szCs w:val="28"/>
        </w:rPr>
      </w:pPr>
    </w:p>
    <w:p>
      <w:pPr>
        <w:spacing w:line="560" w:lineRule="exact"/>
        <w:ind w:firstLine="560" w:firstLineChars="200"/>
        <w:rPr>
          <w:rFonts w:hint="eastAsia" w:ascii="仿宋_GB2312" w:hAnsi="宋体" w:eastAsia="仿宋_GB2312"/>
          <w:sz w:val="28"/>
          <w:szCs w:val="28"/>
        </w:rPr>
      </w:pPr>
    </w:p>
    <w:p>
      <w:pPr>
        <w:spacing w:line="560" w:lineRule="exact"/>
        <w:ind w:firstLine="560" w:firstLineChars="200"/>
        <w:rPr>
          <w:rFonts w:hint="eastAsia" w:ascii="仿宋_GB2312" w:hAnsi="宋体" w:eastAsia="仿宋_GB2312"/>
          <w:sz w:val="28"/>
          <w:szCs w:val="28"/>
        </w:rPr>
      </w:pPr>
    </w:p>
    <w:p>
      <w:pPr>
        <w:spacing w:before="100" w:beforeAutospacing="1" w:after="100" w:afterAutospacing="1" w:line="240" w:lineRule="atLeast"/>
        <w:ind w:right="720"/>
        <w:rPr>
          <w:rFonts w:hint="eastAsia"/>
          <w:sz w:val="28"/>
          <w:szCs w:val="28"/>
        </w:rPr>
      </w:pPr>
    </w:p>
    <w:p>
      <w:pPr>
        <w:spacing w:line="580" w:lineRule="exact"/>
        <w:ind w:right="720"/>
        <w:rPr>
          <w:rFonts w:hint="eastAsia" w:ascii="黑体" w:hAnsi="黑体" w:eastAsia="黑体"/>
          <w:sz w:val="32"/>
          <w:szCs w:val="32"/>
        </w:rPr>
      </w:pPr>
      <w:r>
        <w:rPr>
          <w:rFonts w:hint="eastAsia" w:ascii="黑体" w:hAnsi="黑体" w:eastAsia="黑体"/>
          <w:sz w:val="32"/>
          <w:szCs w:val="32"/>
        </w:rPr>
        <w:t>附件8</w:t>
      </w:r>
    </w:p>
    <w:p>
      <w:pPr>
        <w:spacing w:line="580" w:lineRule="exact"/>
        <w:ind w:right="720" w:firstLine="880" w:firstLineChars="200"/>
        <w:rPr>
          <w:rFonts w:hint="eastAsia" w:ascii="黑体" w:hAnsi="黑体" w:eastAsia="黑体"/>
          <w:sz w:val="32"/>
          <w:szCs w:val="32"/>
        </w:rPr>
      </w:pPr>
      <w:r>
        <w:rPr>
          <w:rFonts w:hint="eastAsia" w:ascii="方正小标宋简体" w:hAnsi="华文中宋" w:eastAsia="方正小标宋简体"/>
          <w:bCs/>
          <w:sz w:val="44"/>
          <w:szCs w:val="44"/>
        </w:rPr>
        <w:t>吉首大学研究生国家奖学金评审办法</w:t>
      </w:r>
    </w:p>
    <w:p>
      <w:pPr>
        <w:spacing w:line="580" w:lineRule="exact"/>
        <w:rPr>
          <w:rFonts w:hint="eastAsia" w:ascii="仿宋_GB2312" w:hAnsi="黑体" w:eastAsia="仿宋_GB2312" w:cs="宋体"/>
          <w:sz w:val="32"/>
          <w:szCs w:val="32"/>
        </w:rPr>
      </w:pPr>
    </w:p>
    <w:p>
      <w:pPr>
        <w:spacing w:line="580" w:lineRule="exact"/>
        <w:jc w:val="center"/>
        <w:rPr>
          <w:rFonts w:hint="eastAsia" w:ascii="仿宋_GB2312" w:hAnsi="黑体" w:eastAsia="仿宋_GB2312" w:cs="宋体"/>
          <w:b/>
          <w:sz w:val="32"/>
          <w:szCs w:val="32"/>
        </w:rPr>
      </w:pPr>
      <w:r>
        <w:rPr>
          <w:rFonts w:hint="eastAsia" w:ascii="仿宋_GB2312" w:hAnsi="黑体" w:eastAsia="仿宋_GB2312" w:cs="宋体"/>
          <w:b/>
          <w:sz w:val="32"/>
          <w:szCs w:val="32"/>
        </w:rPr>
        <w:t>第一章  总则</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第一条</w:t>
      </w:r>
      <w:r>
        <w:rPr>
          <w:rFonts w:hint="eastAsia" w:ascii="仿宋_GB2312" w:hAnsi="宋体" w:eastAsia="仿宋_GB2312" w:cs="宋体"/>
          <w:sz w:val="32"/>
          <w:szCs w:val="32"/>
        </w:rPr>
        <w:t xml:space="preserve"> 为发展中国特色研究生教育，促进研究生培养机制改革，提高研究生培养质量，国家设立了“研究生国家奖学金”。根据《关于印发&lt;研究生国家奖学金管理暂行办法&gt;的通知》（财教[2012]342号 ）和《教育部 财政部关于印发&lt;普通高等学校研究生国家奖学金评审办法&gt;的通知》（教财[2014]1号）文件精神，结合我校实际，制定本评审暂行办法。</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第二条</w:t>
      </w:r>
      <w:r>
        <w:rPr>
          <w:rFonts w:hint="eastAsia" w:ascii="仿宋_GB2312" w:hAnsi="宋体" w:eastAsia="仿宋_GB2312" w:cs="宋体"/>
          <w:sz w:val="32"/>
          <w:szCs w:val="32"/>
        </w:rPr>
        <w:t xml:space="preserve">  研究生国家奖学金来源于中央财政专项资金，用于奖励攻读博士、硕士学位期间表现优异的</w:t>
      </w:r>
      <w:r>
        <w:rPr>
          <w:rFonts w:hint="eastAsia" w:ascii="仿宋_GB2312" w:hAnsi="宋体" w:eastAsia="仿宋_GB2312"/>
          <w:sz w:val="32"/>
          <w:szCs w:val="32"/>
        </w:rPr>
        <w:t>具有中华人民共和国国籍且纳入全国研究生招生计划的全日制（全脱产学习）研究生</w:t>
      </w:r>
      <w:r>
        <w:rPr>
          <w:rFonts w:hint="eastAsia" w:ascii="仿宋_GB2312" w:hAnsi="宋体" w:eastAsia="仿宋_GB2312" w:cs="宋体"/>
          <w:sz w:val="32"/>
          <w:szCs w:val="32"/>
        </w:rPr>
        <w:t>。当年毕业研究生不再具备申请国家奖学金资格。</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 xml:space="preserve">第三条 </w:t>
      </w:r>
      <w:r>
        <w:rPr>
          <w:rFonts w:hint="eastAsia" w:ascii="仿宋_GB2312" w:hAnsi="宋体" w:eastAsia="仿宋_GB2312" w:cs="宋体"/>
          <w:sz w:val="32"/>
          <w:szCs w:val="32"/>
        </w:rPr>
        <w:t xml:space="preserve"> 研究生国家奖学金每年评审一次，学校根据实际名额分配到各培养单位。</w:t>
      </w:r>
    </w:p>
    <w:p>
      <w:pPr>
        <w:spacing w:line="580" w:lineRule="exact"/>
        <w:jc w:val="center"/>
        <w:rPr>
          <w:rFonts w:hint="eastAsia" w:ascii="仿宋_GB2312" w:hAnsi="黑体" w:eastAsia="仿宋_GB2312" w:cs="宋体"/>
          <w:b/>
          <w:sz w:val="32"/>
          <w:szCs w:val="32"/>
        </w:rPr>
      </w:pPr>
    </w:p>
    <w:p>
      <w:pPr>
        <w:spacing w:line="580" w:lineRule="exact"/>
        <w:jc w:val="center"/>
        <w:rPr>
          <w:rFonts w:hint="eastAsia" w:ascii="仿宋_GB2312" w:hAnsi="黑体" w:eastAsia="仿宋_GB2312" w:cs="宋体"/>
          <w:b/>
          <w:sz w:val="32"/>
          <w:szCs w:val="32"/>
        </w:rPr>
      </w:pPr>
      <w:r>
        <w:rPr>
          <w:rFonts w:hint="eastAsia" w:ascii="仿宋_GB2312" w:hAnsi="黑体" w:eastAsia="仿宋_GB2312" w:cs="宋体"/>
          <w:b/>
          <w:sz w:val="32"/>
          <w:szCs w:val="32"/>
        </w:rPr>
        <w:t>第二章  奖励标准与基本要求</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第四条</w:t>
      </w:r>
      <w:r>
        <w:rPr>
          <w:rFonts w:hint="eastAsia" w:ascii="仿宋_GB2312" w:hAnsi="宋体" w:eastAsia="仿宋_GB2312" w:cs="宋体"/>
          <w:sz w:val="32"/>
          <w:szCs w:val="32"/>
        </w:rPr>
        <w:t xml:space="preserve">  博士研究生国家奖学金奖励标准为每生每年3万元；硕士研究生国家奖学金奖励标准为每生每年2万元。</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第五条</w:t>
      </w:r>
      <w:r>
        <w:rPr>
          <w:rFonts w:hint="eastAsia" w:ascii="仿宋_GB2312" w:hAnsi="宋体" w:eastAsia="仿宋_GB2312" w:cs="宋体"/>
          <w:sz w:val="32"/>
          <w:szCs w:val="32"/>
        </w:rPr>
        <w:t xml:space="preserve">  研究生国家奖学金申请的基本要求：</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1、热爱社会主义祖国，拥护中国共产党的领导；</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2、遵守宪法和法律，遵守高等学校规章制度；</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3、诚实守信，道德品质优良；</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4、学习成绩优异，科研能力显著，发展潜力突出。对学术型研究生，评审标准应偏重考察其科研创新能力和体现创新能力的科研成果；对专业学位研究生，评审标准应偏重考察其专业实践能力和适应专业岗位的综合素质。</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5、学术型研究生须以第一作者发表省级以上（含省级）论文1篇及主持校级以上（含校级）科研课题1项。专业学位硕士研究生的专业竞赛要求由各培养单位制定。</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第六条</w:t>
      </w:r>
      <w:r>
        <w:rPr>
          <w:rFonts w:hint="eastAsia" w:ascii="仿宋_GB2312" w:hAnsi="宋体" w:eastAsia="仿宋_GB2312" w:cs="宋体"/>
          <w:sz w:val="32"/>
          <w:szCs w:val="32"/>
        </w:rPr>
        <w:t xml:space="preserve"> 研究生出现以下情况之一，取消当年研究生国家奖学金参评资格：</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1、违反国家法律、校纪校规受到纪律处分者；</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2、有抄袭剽窃、弄虚作假等学术不端行为经查证属实者；</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3、学籍状态处于休学、保留学籍者；</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4、单科课程考试成绩低于75分者；平均成绩低于80分者；课程重修者。</w:t>
      </w:r>
    </w:p>
    <w:p>
      <w:pPr>
        <w:spacing w:line="580" w:lineRule="exact"/>
        <w:jc w:val="center"/>
        <w:rPr>
          <w:rFonts w:hint="eastAsia" w:ascii="仿宋_GB2312" w:hAnsi="黑体" w:eastAsia="仿宋_GB2312" w:cs="宋体"/>
          <w:b/>
          <w:sz w:val="32"/>
          <w:szCs w:val="32"/>
        </w:rPr>
      </w:pPr>
    </w:p>
    <w:p>
      <w:pPr>
        <w:spacing w:line="580" w:lineRule="exact"/>
        <w:jc w:val="center"/>
        <w:rPr>
          <w:rFonts w:hint="eastAsia" w:ascii="仿宋_GB2312" w:hAnsi="黑体" w:eastAsia="仿宋_GB2312" w:cs="宋体"/>
          <w:b/>
          <w:sz w:val="32"/>
          <w:szCs w:val="32"/>
        </w:rPr>
      </w:pPr>
      <w:r>
        <w:rPr>
          <w:rFonts w:hint="eastAsia" w:ascii="仿宋_GB2312" w:hAnsi="黑体" w:eastAsia="仿宋_GB2312" w:cs="宋体"/>
          <w:b/>
          <w:sz w:val="32"/>
          <w:szCs w:val="32"/>
        </w:rPr>
        <w:t>第三章  评审组织及原则</w:t>
      </w:r>
    </w:p>
    <w:p>
      <w:pPr>
        <w:spacing w:line="580" w:lineRule="exact"/>
        <w:ind w:firstLine="627" w:firstLineChars="196"/>
        <w:rPr>
          <w:rFonts w:hint="eastAsia" w:ascii="仿宋_GB2312" w:hAnsi="宋体" w:eastAsia="仿宋_GB2312" w:cs="宋体"/>
          <w:sz w:val="32"/>
          <w:szCs w:val="32"/>
        </w:rPr>
      </w:pPr>
      <w:r>
        <w:rPr>
          <w:rFonts w:hint="eastAsia" w:ascii="仿宋_GB2312" w:hAnsi="黑体" w:eastAsia="仿宋_GB2312" w:cs="宋体"/>
          <w:sz w:val="32"/>
          <w:szCs w:val="32"/>
        </w:rPr>
        <w:t>第七条</w:t>
      </w:r>
      <w:r>
        <w:rPr>
          <w:rFonts w:hint="eastAsia" w:ascii="仿宋_GB2312" w:hAnsi="宋体" w:eastAsia="仿宋_GB2312" w:cs="宋体"/>
          <w:sz w:val="32"/>
          <w:szCs w:val="32"/>
        </w:rPr>
        <w:t xml:space="preserve"> 学校成立研究生国家奖学金评审领导小组，设评审领导小组办公室，由研究生院负责。主管校长任组长，研究生院院长任副组长，成员由研究生院副院长、各培养单位主要负责人组成。</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评审领导小组负责制订学校研究生国家奖学金评审办法、名额分配方案；统筹领导、协调、监督学校评审工作；受理学生申诉。</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第八条</w:t>
      </w:r>
      <w:r>
        <w:rPr>
          <w:rFonts w:hint="eastAsia" w:ascii="仿宋_GB2312" w:hAnsi="宋体" w:eastAsia="仿宋_GB2312" w:cs="宋体"/>
          <w:sz w:val="32"/>
          <w:szCs w:val="32"/>
        </w:rPr>
        <w:t xml:space="preserve"> 各培养单位成立研究生国家奖学金评审委员会（以下简称评审委员会），各二级培养单位负责人、导师代表、管理人员代表、研究生代表任委员，成员由5-7人单数组成。</w:t>
      </w:r>
    </w:p>
    <w:p>
      <w:pPr>
        <w:spacing w:line="5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评审委员会按照学校研究生国家奖学金评审办法，制定本单位研究生国家奖学金评审实施细则，负责本单位研究生国家奖学金申报、评审及推荐等工作。</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第九条</w:t>
      </w:r>
      <w:r>
        <w:rPr>
          <w:rFonts w:hint="eastAsia" w:ascii="仿宋_GB2312" w:hAnsi="宋体" w:eastAsia="仿宋_GB2312" w:cs="宋体"/>
          <w:sz w:val="32"/>
          <w:szCs w:val="32"/>
        </w:rPr>
        <w:t xml:space="preserve"> 评审委员会在评审过程中时应遵循平等、回避、公正、保密的原则。</w:t>
      </w:r>
    </w:p>
    <w:p>
      <w:pPr>
        <w:spacing w:line="580" w:lineRule="exact"/>
        <w:rPr>
          <w:rFonts w:hint="eastAsia" w:ascii="仿宋_GB2312" w:hAnsi="黑体" w:eastAsia="仿宋_GB2312" w:cs="宋体"/>
          <w:sz w:val="32"/>
          <w:szCs w:val="32"/>
        </w:rPr>
      </w:pPr>
    </w:p>
    <w:p>
      <w:pPr>
        <w:spacing w:line="580" w:lineRule="exact"/>
        <w:jc w:val="center"/>
        <w:rPr>
          <w:rFonts w:hint="eastAsia" w:ascii="仿宋_GB2312" w:hAnsi="黑体" w:eastAsia="仿宋_GB2312" w:cs="宋体"/>
          <w:b/>
          <w:sz w:val="32"/>
          <w:szCs w:val="32"/>
        </w:rPr>
      </w:pPr>
      <w:r>
        <w:rPr>
          <w:rFonts w:hint="eastAsia" w:ascii="仿宋_GB2312" w:hAnsi="黑体" w:eastAsia="仿宋_GB2312" w:cs="宋体"/>
          <w:b/>
          <w:sz w:val="32"/>
          <w:szCs w:val="32"/>
        </w:rPr>
        <w:t>第四章  评审程序</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第十条</w:t>
      </w:r>
      <w:r>
        <w:rPr>
          <w:rFonts w:hint="eastAsia" w:ascii="仿宋_GB2312" w:hAnsi="宋体" w:eastAsia="仿宋_GB2312" w:cs="宋体"/>
          <w:sz w:val="32"/>
          <w:szCs w:val="32"/>
        </w:rPr>
        <w:t xml:space="preserve">  各二级培养单位制定研究生国家奖学金评审实施细则并公示。</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第十一条</w:t>
      </w:r>
      <w:r>
        <w:rPr>
          <w:rFonts w:hint="eastAsia" w:ascii="仿宋_GB2312" w:hAnsi="宋体" w:eastAsia="仿宋_GB2312" w:cs="宋体"/>
          <w:sz w:val="32"/>
          <w:szCs w:val="32"/>
        </w:rPr>
        <w:t xml:space="preserve">  申报资格审查。参评研究生根据单位评审实施细则的基本要求、条件，填写《研究生国家奖学金申请审批表》，并向所属单位提交研究生课程学习成绩单、发表论文、科研成果及其它获奖等材料原件。评审委员会对参评研究生进行资格审查。</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 xml:space="preserve">第十二条 </w:t>
      </w:r>
      <w:r>
        <w:rPr>
          <w:rFonts w:hint="eastAsia" w:ascii="仿宋_GB2312" w:hAnsi="宋体" w:eastAsia="仿宋_GB2312" w:cs="宋体"/>
          <w:sz w:val="32"/>
          <w:szCs w:val="32"/>
        </w:rPr>
        <w:t>组织评审。评审委员会依据本办法和本单位的评审实施细则，组织国家奖学金的评审。评审必须实行差额评选，并进行公开答辩。</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第十三条 二级</w:t>
      </w:r>
      <w:r>
        <w:rPr>
          <w:rFonts w:hint="eastAsia" w:ascii="仿宋_GB2312" w:hAnsi="宋体" w:eastAsia="仿宋_GB2312" w:cs="宋体"/>
          <w:sz w:val="32"/>
          <w:szCs w:val="32"/>
        </w:rPr>
        <w:t>培养单位公示。评审结果在本单位公示5日。公示无异议后，将结果报学校研究生国家奖学金评审领导小组办公室。</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第十四条</w:t>
      </w:r>
      <w:r>
        <w:rPr>
          <w:rFonts w:hint="eastAsia" w:ascii="仿宋_GB2312" w:hAnsi="宋体" w:eastAsia="仿宋_GB2312" w:cs="宋体"/>
          <w:sz w:val="32"/>
          <w:szCs w:val="32"/>
        </w:rPr>
        <w:t xml:space="preserve">  复核及上报。学校研究生国家奖学金评审领导小组办公室对各二级培养单位报送的评审结果进行复核审查，报学校研究生国家奖学金评审领导小组审定。审定结果在校内公示5日无异议后，将相关材料上报湖南省学生资助管理中心。</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 xml:space="preserve">第十五条 </w:t>
      </w:r>
      <w:r>
        <w:rPr>
          <w:rFonts w:hint="eastAsia" w:ascii="仿宋_GB2312" w:hAnsi="宋体" w:eastAsia="仿宋_GB2312" w:cs="宋体"/>
          <w:sz w:val="32"/>
          <w:szCs w:val="32"/>
        </w:rPr>
        <w:t xml:space="preserve"> 申诉。对研究生国家奖学金评审结果有异议的研究生，可在二级培养单位公示期内向评审委员会提出申诉，评审委员会应及时研究并予以答复。如申诉人对答复仍存在异议或对学校公示有异议，可在学校公示期内向学校评审领导小组提请裁决。</w:t>
      </w:r>
    </w:p>
    <w:p>
      <w:pPr>
        <w:spacing w:line="580" w:lineRule="exact"/>
        <w:rPr>
          <w:rFonts w:hint="eastAsia" w:ascii="仿宋_GB2312" w:hAnsi="黑体" w:eastAsia="仿宋_GB2312" w:cs="宋体"/>
          <w:sz w:val="32"/>
          <w:szCs w:val="32"/>
        </w:rPr>
      </w:pPr>
    </w:p>
    <w:p>
      <w:pPr>
        <w:spacing w:line="580" w:lineRule="exact"/>
        <w:jc w:val="center"/>
        <w:rPr>
          <w:rFonts w:hint="eastAsia" w:ascii="仿宋_GB2312" w:hAnsi="黑体" w:eastAsia="仿宋_GB2312" w:cs="宋体"/>
          <w:b/>
          <w:sz w:val="32"/>
          <w:szCs w:val="32"/>
        </w:rPr>
      </w:pPr>
      <w:r>
        <w:rPr>
          <w:rFonts w:hint="eastAsia" w:ascii="仿宋_GB2312" w:hAnsi="黑体" w:eastAsia="仿宋_GB2312" w:cs="宋体"/>
          <w:b/>
          <w:sz w:val="32"/>
          <w:szCs w:val="32"/>
        </w:rPr>
        <w:t>第五章  监督检查</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第十六条</w:t>
      </w:r>
      <w:r>
        <w:rPr>
          <w:rFonts w:hint="eastAsia" w:ascii="仿宋_GB2312" w:hAnsi="宋体" w:eastAsia="仿宋_GB2312" w:cs="宋体"/>
          <w:sz w:val="32"/>
          <w:szCs w:val="32"/>
        </w:rPr>
        <w:t xml:space="preserve">  各二级培养单位应将研究生国家奖学金获得情况记入研究生学籍档案。</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 xml:space="preserve">第十七条 </w:t>
      </w:r>
      <w:r>
        <w:rPr>
          <w:rFonts w:hint="eastAsia" w:ascii="仿宋_GB2312" w:hAnsi="宋体" w:eastAsia="仿宋_GB2312" w:cs="宋体"/>
          <w:sz w:val="32"/>
          <w:szCs w:val="32"/>
        </w:rPr>
        <w:t xml:space="preserve"> 研究生国家奖学金的评审工作，坚持公开、公平、公正、择优的原则，严格执行国家有关教育法规，按评审程序操作，接受学校纪检监察部门的监督，杜绝弄虚作假。</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第十八条</w:t>
      </w:r>
      <w:r>
        <w:rPr>
          <w:rFonts w:hint="eastAsia" w:ascii="仿宋_GB2312" w:hAnsi="宋体" w:eastAsia="仿宋_GB2312" w:cs="宋体"/>
          <w:sz w:val="32"/>
          <w:szCs w:val="32"/>
        </w:rPr>
        <w:t xml:space="preserve">  学校对研究生国家奖学金</w:t>
      </w:r>
      <w:r>
        <w:rPr>
          <w:rFonts w:hint="eastAsia" w:ascii="仿宋_GB2312" w:hAnsi="宋体" w:eastAsia="仿宋_GB2312"/>
          <w:sz w:val="32"/>
          <w:szCs w:val="32"/>
        </w:rPr>
        <w:t>严格执行单独核算、</w:t>
      </w:r>
      <w:r>
        <w:rPr>
          <w:rFonts w:hint="eastAsia" w:ascii="仿宋_GB2312" w:hAnsi="宋体" w:eastAsia="仿宋_GB2312" w:cs="宋体"/>
          <w:sz w:val="32"/>
          <w:szCs w:val="32"/>
        </w:rPr>
        <w:t>专款专用的规定，及时将奖学金转入到获奖研究生银行卡，不截留、挪用和挤占，</w:t>
      </w:r>
      <w:r>
        <w:rPr>
          <w:rFonts w:hint="eastAsia" w:ascii="仿宋_GB2312" w:hAnsi="宋体" w:eastAsia="仿宋_GB2312"/>
          <w:sz w:val="32"/>
          <w:szCs w:val="32"/>
        </w:rPr>
        <w:t>并</w:t>
      </w:r>
      <w:r>
        <w:rPr>
          <w:rFonts w:hint="eastAsia" w:ascii="仿宋_GB2312" w:hAnsi="宋体" w:eastAsia="仿宋_GB2312" w:cs="宋体"/>
          <w:sz w:val="32"/>
          <w:szCs w:val="32"/>
        </w:rPr>
        <w:t>自觉接受学校纪检、监察和审计等部门的检查和监督。</w:t>
      </w:r>
    </w:p>
    <w:p>
      <w:pPr>
        <w:spacing w:line="580" w:lineRule="exact"/>
        <w:rPr>
          <w:rFonts w:hint="eastAsia" w:ascii="仿宋_GB2312" w:hAnsi="黑体" w:eastAsia="仿宋_GB2312" w:cs="宋体"/>
          <w:sz w:val="32"/>
          <w:szCs w:val="32"/>
        </w:rPr>
      </w:pPr>
    </w:p>
    <w:p>
      <w:pPr>
        <w:spacing w:line="580" w:lineRule="exact"/>
        <w:jc w:val="center"/>
        <w:rPr>
          <w:rFonts w:hint="eastAsia" w:ascii="仿宋_GB2312" w:hAnsi="黑体" w:eastAsia="仿宋_GB2312" w:cs="宋体"/>
          <w:b/>
          <w:sz w:val="32"/>
          <w:szCs w:val="32"/>
        </w:rPr>
      </w:pPr>
      <w:r>
        <w:rPr>
          <w:rFonts w:hint="eastAsia" w:ascii="仿宋_GB2312" w:hAnsi="黑体" w:eastAsia="仿宋_GB2312" w:cs="宋体"/>
          <w:b/>
          <w:sz w:val="32"/>
          <w:szCs w:val="32"/>
        </w:rPr>
        <w:t>第六章  附则</w:t>
      </w:r>
    </w:p>
    <w:p>
      <w:pPr>
        <w:spacing w:line="580" w:lineRule="exact"/>
        <w:ind w:firstLine="633" w:firstLineChars="198"/>
        <w:rPr>
          <w:rFonts w:hint="eastAsia" w:ascii="仿宋_GB2312" w:hAnsi="宋体" w:eastAsia="仿宋_GB2312" w:cs="宋体"/>
          <w:sz w:val="32"/>
          <w:szCs w:val="32"/>
        </w:rPr>
      </w:pPr>
      <w:r>
        <w:rPr>
          <w:rFonts w:hint="eastAsia" w:ascii="仿宋_GB2312" w:hAnsi="黑体" w:eastAsia="仿宋_GB2312" w:cs="宋体"/>
          <w:sz w:val="32"/>
          <w:szCs w:val="32"/>
        </w:rPr>
        <w:t xml:space="preserve">第十九条 </w:t>
      </w:r>
      <w:r>
        <w:rPr>
          <w:rFonts w:hint="eastAsia" w:ascii="仿宋_GB2312" w:hAnsi="宋体" w:eastAsia="仿宋_GB2312" w:cs="宋体"/>
          <w:sz w:val="32"/>
          <w:szCs w:val="32"/>
        </w:rPr>
        <w:t>研究生在学制年限内可多次获得研究生国家奖学金，但所有参评成果不可重复申报使用。超出学制年限的研究生，不再具备研究生国家奖学金参评资格。</w:t>
      </w:r>
    </w:p>
    <w:p>
      <w:pPr>
        <w:tabs>
          <w:tab w:val="left" w:pos="360"/>
        </w:tabs>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 xml:space="preserve">第二十条 </w:t>
      </w:r>
      <w:r>
        <w:rPr>
          <w:rFonts w:hint="eastAsia" w:ascii="仿宋_GB2312" w:hAnsi="宋体" w:eastAsia="仿宋_GB2312" w:cs="宋体"/>
          <w:sz w:val="32"/>
          <w:szCs w:val="32"/>
        </w:rPr>
        <w:t>在学制年限内，因国家和单位公派出国留学或校际交流在境外学习的研究生，仍具备研究生国家奖学金参评资格；由于因私出国留学、疾病、创业等原因未在校学习的研究生，期间内不具备研究生国家奖学金参评资格。</w:t>
      </w:r>
    </w:p>
    <w:p>
      <w:pPr>
        <w:spacing w:line="580" w:lineRule="exact"/>
        <w:ind w:firstLine="633" w:firstLineChars="198"/>
        <w:rPr>
          <w:rFonts w:hint="eastAsia" w:ascii="仿宋_GB2312" w:hAnsi="宋体" w:eastAsia="仿宋_GB2312" w:cs="宋体"/>
          <w:sz w:val="32"/>
          <w:szCs w:val="32"/>
        </w:rPr>
      </w:pPr>
      <w:r>
        <w:rPr>
          <w:rFonts w:hint="eastAsia" w:ascii="仿宋_GB2312" w:hAnsi="黑体" w:eastAsia="仿宋_GB2312" w:cs="宋体"/>
          <w:sz w:val="32"/>
          <w:szCs w:val="32"/>
        </w:rPr>
        <w:t>第二十一条</w:t>
      </w:r>
      <w:r>
        <w:rPr>
          <w:rFonts w:hint="eastAsia" w:ascii="仿宋_GB2312" w:hAnsi="宋体" w:eastAsia="仿宋_GB2312" w:cs="宋体"/>
          <w:sz w:val="32"/>
          <w:szCs w:val="32"/>
        </w:rPr>
        <w:t xml:space="preserve">  本办法自2017年9月1日起施行，学校原有相关规定与本办法相抵触的，按本办法执行。</w:t>
      </w:r>
    </w:p>
    <w:p>
      <w:pPr>
        <w:spacing w:line="580" w:lineRule="exact"/>
        <w:ind w:firstLine="633" w:firstLineChars="198"/>
        <w:rPr>
          <w:rFonts w:hint="eastAsia" w:ascii="仿宋_GB2312" w:hAnsi="宋体" w:eastAsia="仿宋_GB2312" w:cs="宋体"/>
          <w:sz w:val="32"/>
          <w:szCs w:val="32"/>
        </w:rPr>
      </w:pPr>
      <w:r>
        <w:rPr>
          <w:rFonts w:hint="eastAsia" w:ascii="仿宋_GB2312" w:hAnsi="黑体" w:eastAsia="仿宋_GB2312" w:cs="宋体"/>
          <w:sz w:val="32"/>
          <w:szCs w:val="32"/>
        </w:rPr>
        <w:t xml:space="preserve">第二十二条  </w:t>
      </w:r>
      <w:r>
        <w:rPr>
          <w:rFonts w:hint="eastAsia" w:ascii="仿宋_GB2312" w:hAnsi="宋体" w:eastAsia="仿宋_GB2312" w:cs="宋体"/>
          <w:sz w:val="32"/>
          <w:szCs w:val="32"/>
        </w:rPr>
        <w:t>本办法由研究生院负责解释。</w:t>
      </w:r>
    </w:p>
    <w:p>
      <w:pPr>
        <w:spacing w:line="580" w:lineRule="exact"/>
        <w:rPr>
          <w:rFonts w:hint="eastAsia" w:ascii="仿宋_GB2312" w:hAnsi="宋体" w:eastAsia="仿宋_GB2312" w:cs="宋体"/>
          <w:sz w:val="32"/>
          <w:szCs w:val="32"/>
        </w:rPr>
      </w:pPr>
    </w:p>
    <w:p>
      <w:pPr>
        <w:spacing w:line="580" w:lineRule="exact"/>
        <w:ind w:firstLine="633" w:firstLineChars="198"/>
        <w:rPr>
          <w:rFonts w:hint="eastAsia" w:ascii="仿宋_GB2312" w:hAnsi="宋体" w:eastAsia="仿宋_GB2312" w:cs="宋体"/>
          <w:sz w:val="32"/>
          <w:szCs w:val="32"/>
        </w:rPr>
      </w:pPr>
      <w:r>
        <w:rPr>
          <w:rFonts w:hint="eastAsia" w:ascii="仿宋_GB2312" w:hAnsi="宋体" w:eastAsia="仿宋_GB2312" w:cs="宋体"/>
          <w:sz w:val="32"/>
          <w:szCs w:val="32"/>
        </w:rPr>
        <w:t>附件：吉首大学研究生国家奖学金评审内容及分值计算办法</w:t>
      </w:r>
    </w:p>
    <w:p>
      <w:pPr>
        <w:spacing w:line="580" w:lineRule="exact"/>
        <w:ind w:firstLine="633" w:firstLineChars="198"/>
        <w:rPr>
          <w:rFonts w:hint="eastAsia" w:ascii="仿宋_GB2312" w:hAnsi="宋体" w:eastAsia="仿宋_GB2312" w:cs="宋体"/>
          <w:sz w:val="32"/>
          <w:szCs w:val="32"/>
        </w:rPr>
      </w:pPr>
    </w:p>
    <w:p>
      <w:pPr>
        <w:spacing w:before="156" w:beforeLines="50" w:line="500" w:lineRule="exact"/>
        <w:jc w:val="center"/>
        <w:rPr>
          <w:rFonts w:hint="eastAsia" w:ascii="黑体" w:hAnsi="宋体" w:eastAsia="黑体" w:cs="宋体"/>
        </w:rPr>
      </w:pPr>
    </w:p>
    <w:p>
      <w:pPr>
        <w:tabs>
          <w:tab w:val="left" w:pos="360"/>
        </w:tabs>
        <w:spacing w:line="580" w:lineRule="exact"/>
        <w:rPr>
          <w:rFonts w:hint="eastAsia" w:ascii="黑体" w:hAnsi="黑体" w:eastAsia="黑体" w:cs="宋体"/>
          <w:sz w:val="32"/>
          <w:szCs w:val="32"/>
        </w:rPr>
      </w:pPr>
      <w:r>
        <w:rPr>
          <w:rFonts w:ascii="宋体" w:hAnsi="宋体" w:cs="宋体"/>
        </w:rPr>
        <w:br w:type="page"/>
      </w:r>
      <w:r>
        <w:rPr>
          <w:rFonts w:hint="eastAsia" w:ascii="黑体" w:hAnsi="黑体" w:eastAsia="黑体" w:cs="宋体"/>
          <w:sz w:val="32"/>
          <w:szCs w:val="32"/>
        </w:rPr>
        <w:t>附件</w:t>
      </w:r>
    </w:p>
    <w:p>
      <w:pPr>
        <w:tabs>
          <w:tab w:val="left" w:pos="360"/>
        </w:tabs>
        <w:spacing w:line="580" w:lineRule="exact"/>
        <w:jc w:val="center"/>
        <w:rPr>
          <w:rFonts w:hint="eastAsia" w:ascii="方正小标宋简体" w:hAnsi="宋体" w:eastAsia="方正小标宋简体" w:cs="宋体"/>
          <w:sz w:val="44"/>
          <w:szCs w:val="44"/>
        </w:rPr>
      </w:pPr>
      <w:r>
        <w:rPr>
          <w:rFonts w:hint="eastAsia" w:ascii="方正小标宋简体" w:hAnsi="宋体" w:eastAsia="方正小标宋简体" w:cs="宋体"/>
          <w:sz w:val="44"/>
          <w:szCs w:val="44"/>
        </w:rPr>
        <w:t>吉首大学</w:t>
      </w:r>
    </w:p>
    <w:p>
      <w:pPr>
        <w:tabs>
          <w:tab w:val="left" w:pos="360"/>
        </w:tabs>
        <w:spacing w:line="580" w:lineRule="exact"/>
        <w:jc w:val="center"/>
        <w:rPr>
          <w:rFonts w:hint="eastAsia" w:ascii="方正小标宋简体" w:hAnsi="ˎ̥" w:eastAsia="方正小标宋简体" w:cs="宋体"/>
          <w:sz w:val="44"/>
          <w:szCs w:val="44"/>
        </w:rPr>
      </w:pPr>
      <w:r>
        <w:rPr>
          <w:rFonts w:hint="eastAsia" w:ascii="方正小标宋简体" w:hAnsi="宋体" w:eastAsia="方正小标宋简体" w:cs="宋体"/>
          <w:sz w:val="44"/>
          <w:szCs w:val="44"/>
        </w:rPr>
        <w:t>研究生国家奖学金评审内容及分值计算办法</w:t>
      </w:r>
    </w:p>
    <w:p>
      <w:pPr>
        <w:tabs>
          <w:tab w:val="left" w:pos="360"/>
        </w:tabs>
        <w:spacing w:line="400" w:lineRule="atLeast"/>
        <w:ind w:firstLine="420" w:firstLineChars="200"/>
        <w:rPr>
          <w:rFonts w:hint="eastAsia" w:ascii="黑体" w:hAnsi="ˎ̥" w:eastAsia="黑体" w:cs="宋体"/>
        </w:rPr>
      </w:pP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一、概述</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《吉首大学研究生国家奖学金评审内容及分值计算办法》是各研究生培养单位制订本单位国家奖学金评审细则的依据，各单位可进一步细化，但不得与本办法冲突。</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 xml:space="preserve"> 评审分值用“S”表示，总分值计算公式为：</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 xml:space="preserve">S（总成绩）＝[平均成绩绩点(A)×10＋学术科研及专业技能竞赛（B）＋社会活动（C）] ×思想政治及综合考核（D） </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二、课程平均成绩绩点（A）</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1、平均成绩绩点（GPA，全称是Grade Point Average），平均成绩绩点的计算是将每门课程的成绩乘以学分，加起来以后除以总的学分，得出平均分。根据平均分查找相应的学分绩点，见表1。</w:t>
      </w:r>
    </w:p>
    <w:p>
      <w:pPr>
        <w:spacing w:line="62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2、课程学习成绩采用加权平均分计算办法，其计算公式为：</w:t>
      </w:r>
    </w:p>
    <w:p>
      <w:pPr>
        <w:spacing w:line="82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A（课程学习成绩）=</w:t>
      </w:r>
      <w:r>
        <w:rPr>
          <w:rFonts w:hint="eastAsia" w:ascii="仿宋_GB2312" w:hAnsi="宋体" w:eastAsia="仿宋_GB2312" w:cs="宋体"/>
          <w:sz w:val="32"/>
          <w:szCs w:val="32"/>
        </w:rPr>
        <w:pict>
          <v:shape id="_x0000_i1025" o:spt="75" type="#_x0000_t75" style="height:31.95pt;width:9pt;" filled="f" o:preferrelative="t" stroked="f" coordsize="21600,21600">
            <v:path/>
            <v:fill on="f" focussize="0,0"/>
            <v:stroke on="f"/>
            <v:imagedata r:id="rId5" o:title=""/>
            <o:lock v:ext="edit" aspectratio="t"/>
            <w10:wrap type="none"/>
            <w10:anchorlock/>
          </v:shape>
        </w:pict>
      </w:r>
      <w:r>
        <w:rPr>
          <w:rFonts w:hint="eastAsia" w:ascii="仿宋_GB2312" w:hAnsi="宋体" w:eastAsia="仿宋_GB2312" w:cs="宋体"/>
          <w:sz w:val="32"/>
          <w:szCs w:val="32"/>
        </w:rPr>
        <w:pict>
          <v:shape id="_x0000_i1026" o:spt="75" type="#_x0000_t75" style="height:33pt;width:63.75pt;" filled="f" o:preferrelative="t" stroked="f" coordsize="21600,21600">
            <v:path/>
            <v:fill on="f" focussize="0,0"/>
            <v:stroke on="f"/>
            <v:imagedata r:id="rId6" o:title=""/>
            <o:lock v:ext="edit" aspectratio="t"/>
            <w10:wrap type="none"/>
            <w10:anchorlock/>
          </v:shape>
        </w:pic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3、课程学习成绩评定以研究生院学籍入档成绩为准。</w:t>
      </w:r>
    </w:p>
    <w:p>
      <w:pPr>
        <w:spacing w:line="580" w:lineRule="exact"/>
        <w:ind w:firstLine="640" w:firstLineChars="200"/>
        <w:rPr>
          <w:rFonts w:hint="eastAsia" w:ascii="仿宋_GB2312" w:hAnsi="宋体" w:eastAsia="仿宋_GB2312" w:cs="宋体"/>
          <w:sz w:val="32"/>
          <w:szCs w:val="32"/>
        </w:rPr>
      </w:pPr>
      <w:r>
        <w:rPr>
          <w:rFonts w:hint="eastAsia" w:ascii="仿宋_GB2312" w:hAnsi="黑体" w:eastAsia="仿宋_GB2312" w:cs="宋体"/>
          <w:sz w:val="32"/>
          <w:szCs w:val="32"/>
        </w:rPr>
        <w:t>表1 课程学习平均成绩绩点对照表</w:t>
      </w:r>
    </w:p>
    <w:tbl>
      <w:tblPr>
        <w:tblStyle w:val="13"/>
        <w:tblW w:w="879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15" w:type="dxa"/>
          <w:left w:w="15" w:type="dxa"/>
          <w:bottom w:w="15" w:type="dxa"/>
          <w:right w:w="15" w:type="dxa"/>
        </w:tblCellMar>
      </w:tblPr>
      <w:tblGrid>
        <w:gridCol w:w="1263"/>
        <w:gridCol w:w="997"/>
        <w:gridCol w:w="1310"/>
        <w:gridCol w:w="900"/>
        <w:gridCol w:w="1080"/>
        <w:gridCol w:w="900"/>
        <w:gridCol w:w="1080"/>
        <w:gridCol w:w="1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15" w:type="dxa"/>
            <w:left w:w="15" w:type="dxa"/>
            <w:bottom w:w="15" w:type="dxa"/>
            <w:right w:w="15" w:type="dxa"/>
          </w:tblCellMar>
        </w:tblPrEx>
        <w:trPr>
          <w:trHeight w:val="90" w:hRule="atLeast"/>
        </w:trPr>
        <w:tc>
          <w:tcPr>
            <w:tcW w:w="1263" w:type="dxa"/>
            <w:shd w:val="clear" w:color="auto" w:fill="D7D7D7"/>
            <w:tcMar>
              <w:top w:w="30" w:type="dxa"/>
              <w:left w:w="150" w:type="dxa"/>
              <w:bottom w:w="30" w:type="dxa"/>
              <w:right w:w="150" w:type="dxa"/>
            </w:tcMar>
            <w:vAlign w:val="top"/>
          </w:tcPr>
          <w:p>
            <w:pPr>
              <w:rPr>
                <w:rFonts w:hint="eastAsia"/>
              </w:rPr>
            </w:pPr>
            <w:r>
              <w:t>百分制　　</w:t>
            </w:r>
          </w:p>
        </w:tc>
        <w:tc>
          <w:tcPr>
            <w:tcW w:w="997" w:type="dxa"/>
            <w:shd w:val="clear" w:color="auto" w:fill="D7D7D7"/>
            <w:tcMar>
              <w:top w:w="30" w:type="dxa"/>
              <w:left w:w="150" w:type="dxa"/>
              <w:bottom w:w="30" w:type="dxa"/>
              <w:right w:w="150" w:type="dxa"/>
            </w:tcMar>
            <w:vAlign w:val="top"/>
          </w:tcPr>
          <w:p>
            <w:r>
              <w:t>100-95</w:t>
            </w:r>
          </w:p>
        </w:tc>
        <w:tc>
          <w:tcPr>
            <w:tcW w:w="1310" w:type="dxa"/>
            <w:shd w:val="clear" w:color="auto" w:fill="D7D7D7"/>
            <w:tcMar>
              <w:top w:w="30" w:type="dxa"/>
              <w:left w:w="150" w:type="dxa"/>
              <w:bottom w:w="30" w:type="dxa"/>
              <w:right w:w="150" w:type="dxa"/>
            </w:tcMar>
            <w:vAlign w:val="top"/>
          </w:tcPr>
          <w:p>
            <w:r>
              <w:t>94-90</w:t>
            </w:r>
          </w:p>
        </w:tc>
        <w:tc>
          <w:tcPr>
            <w:tcW w:w="900" w:type="dxa"/>
            <w:shd w:val="clear" w:color="auto" w:fill="D7D7D7"/>
            <w:tcMar>
              <w:top w:w="30" w:type="dxa"/>
              <w:left w:w="150" w:type="dxa"/>
              <w:bottom w:w="30" w:type="dxa"/>
              <w:right w:w="150" w:type="dxa"/>
            </w:tcMar>
            <w:vAlign w:val="top"/>
          </w:tcPr>
          <w:p>
            <w:r>
              <w:t>89-85</w:t>
            </w:r>
          </w:p>
        </w:tc>
        <w:tc>
          <w:tcPr>
            <w:tcW w:w="1080" w:type="dxa"/>
            <w:shd w:val="clear" w:color="auto" w:fill="D7D7D7"/>
            <w:tcMar>
              <w:top w:w="30" w:type="dxa"/>
              <w:left w:w="150" w:type="dxa"/>
              <w:bottom w:w="30" w:type="dxa"/>
              <w:right w:w="150" w:type="dxa"/>
            </w:tcMar>
            <w:vAlign w:val="top"/>
          </w:tcPr>
          <w:p>
            <w:r>
              <w:t>84-82</w:t>
            </w:r>
          </w:p>
        </w:tc>
        <w:tc>
          <w:tcPr>
            <w:tcW w:w="900" w:type="dxa"/>
            <w:shd w:val="clear" w:color="auto" w:fill="D7D7D7"/>
            <w:tcMar>
              <w:top w:w="30" w:type="dxa"/>
              <w:left w:w="150" w:type="dxa"/>
              <w:bottom w:w="30" w:type="dxa"/>
              <w:right w:w="150" w:type="dxa"/>
            </w:tcMar>
            <w:vAlign w:val="top"/>
          </w:tcPr>
          <w:p>
            <w:r>
              <w:t>81-78</w:t>
            </w:r>
          </w:p>
        </w:tc>
        <w:tc>
          <w:tcPr>
            <w:tcW w:w="1080" w:type="dxa"/>
            <w:shd w:val="clear" w:color="auto" w:fill="D7D7D7"/>
            <w:tcMar>
              <w:top w:w="30" w:type="dxa"/>
              <w:left w:w="150" w:type="dxa"/>
              <w:bottom w:w="30" w:type="dxa"/>
              <w:right w:w="150" w:type="dxa"/>
            </w:tcMar>
            <w:vAlign w:val="top"/>
          </w:tcPr>
          <w:p>
            <w:r>
              <w:t>77-75</w:t>
            </w:r>
          </w:p>
        </w:tc>
        <w:tc>
          <w:tcPr>
            <w:tcW w:w="1260" w:type="dxa"/>
            <w:shd w:val="clear" w:color="auto" w:fill="D7D7D7"/>
            <w:tcMar>
              <w:top w:w="30" w:type="dxa"/>
              <w:left w:w="150" w:type="dxa"/>
              <w:bottom w:w="30" w:type="dxa"/>
              <w:right w:w="150" w:type="dxa"/>
            </w:tcMar>
            <w:vAlign w:val="top"/>
          </w:tcPr>
          <w:p>
            <w:r>
              <w:t>74-72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5" w:type="dxa"/>
            <w:left w:w="15" w:type="dxa"/>
            <w:bottom w:w="15" w:type="dxa"/>
            <w:right w:w="15" w:type="dxa"/>
          </w:tblCellMar>
        </w:tblPrEx>
        <w:trPr>
          <w:trHeight w:val="90" w:hRule="atLeast"/>
        </w:trPr>
        <w:tc>
          <w:tcPr>
            <w:tcW w:w="1263"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五等级制</w:t>
            </w:r>
          </w:p>
        </w:tc>
        <w:tc>
          <w:tcPr>
            <w:tcW w:w="997"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A+</w:t>
            </w:r>
          </w:p>
        </w:tc>
        <w:tc>
          <w:tcPr>
            <w:tcW w:w="131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A</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A-</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B+</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B</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B-</w:t>
            </w:r>
          </w:p>
        </w:tc>
        <w:tc>
          <w:tcPr>
            <w:tcW w:w="126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5" w:type="dxa"/>
            <w:left w:w="15" w:type="dxa"/>
            <w:bottom w:w="15" w:type="dxa"/>
            <w:right w:w="15" w:type="dxa"/>
          </w:tblCellMar>
        </w:tblPrEx>
        <w:trPr>
          <w:trHeight w:val="90" w:hRule="atLeast"/>
        </w:trPr>
        <w:tc>
          <w:tcPr>
            <w:tcW w:w="1263"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学分绩点</w:t>
            </w:r>
          </w:p>
        </w:tc>
        <w:tc>
          <w:tcPr>
            <w:tcW w:w="997"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4.3</w:t>
            </w:r>
          </w:p>
        </w:tc>
        <w:tc>
          <w:tcPr>
            <w:tcW w:w="131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4</w:t>
            </w:r>
            <w:r>
              <w:rPr>
                <w:rFonts w:hint="eastAsia" w:ascii="Arial" w:hAnsi="Arial" w:cs="Arial"/>
                <w:kern w:val="0"/>
                <w:sz w:val="18"/>
                <w:szCs w:val="18"/>
                <w:lang w:bidi="ar"/>
              </w:rPr>
              <w:t>.0</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3.7</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3.3</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3</w:t>
            </w:r>
            <w:r>
              <w:rPr>
                <w:rFonts w:hint="eastAsia" w:ascii="Arial" w:hAnsi="Arial" w:cs="Arial"/>
                <w:kern w:val="0"/>
                <w:sz w:val="18"/>
                <w:szCs w:val="18"/>
                <w:lang w:bidi="ar"/>
              </w:rPr>
              <w:t>.0</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2.7</w:t>
            </w:r>
          </w:p>
        </w:tc>
        <w:tc>
          <w:tcPr>
            <w:tcW w:w="126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5" w:type="dxa"/>
            <w:left w:w="15" w:type="dxa"/>
            <w:bottom w:w="15" w:type="dxa"/>
            <w:right w:w="15" w:type="dxa"/>
          </w:tblCellMar>
        </w:tblPrEx>
        <w:trPr>
          <w:trHeight w:val="90" w:hRule="atLeast"/>
        </w:trPr>
        <w:tc>
          <w:tcPr>
            <w:tcW w:w="1263" w:type="dxa"/>
            <w:shd w:val="clear" w:color="auto" w:fill="D7D7D7"/>
            <w:tcMar>
              <w:top w:w="30" w:type="dxa"/>
              <w:left w:w="150" w:type="dxa"/>
              <w:bottom w:w="30" w:type="dxa"/>
              <w:right w:w="150" w:type="dxa"/>
            </w:tcMar>
            <w:vAlign w:val="top"/>
          </w:tcPr>
          <w:p>
            <w:pPr>
              <w:rPr>
                <w:rFonts w:ascii="Arial" w:hAnsi="Arial" w:cs="Arial"/>
                <w:sz w:val="18"/>
                <w:szCs w:val="18"/>
              </w:rPr>
            </w:pPr>
            <w:r>
              <w:t>百分制　　</w:t>
            </w:r>
          </w:p>
        </w:tc>
        <w:tc>
          <w:tcPr>
            <w:tcW w:w="997" w:type="dxa"/>
            <w:shd w:val="clear" w:color="auto" w:fill="D7D7D7"/>
            <w:tcMar>
              <w:top w:w="30" w:type="dxa"/>
              <w:left w:w="150" w:type="dxa"/>
              <w:bottom w:w="30" w:type="dxa"/>
              <w:right w:w="150" w:type="dxa"/>
            </w:tcMar>
            <w:vAlign w:val="top"/>
          </w:tcPr>
          <w:p>
            <w:pPr>
              <w:rPr>
                <w:rFonts w:ascii="Arial" w:hAnsi="Arial" w:cs="Arial"/>
                <w:sz w:val="18"/>
                <w:szCs w:val="18"/>
              </w:rPr>
            </w:pPr>
            <w:r>
              <w:t>71-68</w:t>
            </w:r>
          </w:p>
        </w:tc>
        <w:tc>
          <w:tcPr>
            <w:tcW w:w="1310" w:type="dxa"/>
            <w:shd w:val="clear" w:color="auto" w:fill="D7D7D7"/>
            <w:tcMar>
              <w:top w:w="30" w:type="dxa"/>
              <w:left w:w="150" w:type="dxa"/>
              <w:bottom w:w="30" w:type="dxa"/>
              <w:right w:w="150" w:type="dxa"/>
            </w:tcMar>
            <w:vAlign w:val="top"/>
          </w:tcPr>
          <w:p>
            <w:pPr>
              <w:rPr>
                <w:rFonts w:ascii="Arial" w:hAnsi="Arial" w:cs="Arial"/>
                <w:sz w:val="18"/>
                <w:szCs w:val="18"/>
              </w:rPr>
            </w:pPr>
            <w:r>
              <w:t>67-65</w:t>
            </w:r>
          </w:p>
        </w:tc>
        <w:tc>
          <w:tcPr>
            <w:tcW w:w="900" w:type="dxa"/>
            <w:shd w:val="clear" w:color="auto" w:fill="D7D7D7"/>
            <w:tcMar>
              <w:top w:w="30" w:type="dxa"/>
              <w:left w:w="150" w:type="dxa"/>
              <w:bottom w:w="30" w:type="dxa"/>
              <w:right w:w="150" w:type="dxa"/>
            </w:tcMar>
            <w:vAlign w:val="top"/>
          </w:tcPr>
          <w:p>
            <w:pPr>
              <w:rPr>
                <w:rFonts w:ascii="Arial" w:hAnsi="Arial" w:cs="Arial"/>
                <w:kern w:val="0"/>
                <w:sz w:val="18"/>
                <w:szCs w:val="18"/>
                <w:lang w:bidi="ar"/>
              </w:rPr>
            </w:pPr>
            <w:r>
              <w:t>64</w:t>
            </w:r>
          </w:p>
        </w:tc>
        <w:tc>
          <w:tcPr>
            <w:tcW w:w="1080" w:type="dxa"/>
            <w:shd w:val="clear" w:color="auto" w:fill="D7D7D7"/>
            <w:tcMar>
              <w:top w:w="30" w:type="dxa"/>
              <w:left w:w="150" w:type="dxa"/>
              <w:bottom w:w="30" w:type="dxa"/>
              <w:right w:w="150" w:type="dxa"/>
            </w:tcMar>
            <w:vAlign w:val="top"/>
          </w:tcPr>
          <w:p>
            <w:pPr>
              <w:rPr>
                <w:rFonts w:ascii="Arial" w:hAnsi="Arial" w:cs="Arial"/>
                <w:kern w:val="0"/>
                <w:sz w:val="18"/>
                <w:szCs w:val="18"/>
                <w:lang w:bidi="ar"/>
              </w:rPr>
            </w:pPr>
            <w:r>
              <w:t>63-61</w:t>
            </w:r>
          </w:p>
        </w:tc>
        <w:tc>
          <w:tcPr>
            <w:tcW w:w="900" w:type="dxa"/>
            <w:shd w:val="clear" w:color="auto" w:fill="D7D7D7"/>
            <w:tcMar>
              <w:top w:w="30" w:type="dxa"/>
              <w:left w:w="150" w:type="dxa"/>
              <w:bottom w:w="30" w:type="dxa"/>
              <w:right w:w="150" w:type="dxa"/>
            </w:tcMar>
            <w:vAlign w:val="top"/>
          </w:tcPr>
          <w:p>
            <w:pPr>
              <w:rPr>
                <w:rFonts w:ascii="Arial" w:hAnsi="Arial" w:cs="Arial"/>
                <w:kern w:val="0"/>
                <w:sz w:val="18"/>
                <w:szCs w:val="18"/>
                <w:lang w:bidi="ar"/>
              </w:rPr>
            </w:pPr>
            <w:r>
              <w:t>60</w:t>
            </w:r>
          </w:p>
        </w:tc>
        <w:tc>
          <w:tcPr>
            <w:tcW w:w="1080" w:type="dxa"/>
            <w:shd w:val="clear" w:color="auto" w:fill="D7D7D7"/>
            <w:tcMar>
              <w:top w:w="30" w:type="dxa"/>
              <w:left w:w="150" w:type="dxa"/>
              <w:bottom w:w="30" w:type="dxa"/>
              <w:right w:w="150" w:type="dxa"/>
            </w:tcMar>
            <w:vAlign w:val="top"/>
          </w:tcPr>
          <w:p>
            <w:pPr>
              <w:rPr>
                <w:rFonts w:ascii="Arial" w:hAnsi="Arial" w:cs="Arial"/>
                <w:kern w:val="0"/>
                <w:sz w:val="18"/>
                <w:szCs w:val="18"/>
                <w:lang w:bidi="ar"/>
              </w:rPr>
            </w:pPr>
            <w:r>
              <w:t>&lt;60</w:t>
            </w:r>
          </w:p>
        </w:tc>
        <w:tc>
          <w:tcPr>
            <w:tcW w:w="1260" w:type="dxa"/>
            <w:shd w:val="clear" w:color="auto" w:fill="D7D7D7"/>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5" w:type="dxa"/>
            <w:left w:w="15" w:type="dxa"/>
            <w:bottom w:w="15" w:type="dxa"/>
            <w:right w:w="15" w:type="dxa"/>
          </w:tblCellMar>
        </w:tblPrEx>
        <w:trPr>
          <w:trHeight w:val="90" w:hRule="atLeast"/>
        </w:trPr>
        <w:tc>
          <w:tcPr>
            <w:tcW w:w="1263"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五等级制</w:t>
            </w:r>
          </w:p>
        </w:tc>
        <w:tc>
          <w:tcPr>
            <w:tcW w:w="997"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C</w:t>
            </w:r>
          </w:p>
        </w:tc>
        <w:tc>
          <w:tcPr>
            <w:tcW w:w="131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C-</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D+</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D</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D-</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F</w:t>
            </w:r>
          </w:p>
        </w:tc>
        <w:tc>
          <w:tcPr>
            <w:tcW w:w="126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5" w:type="dxa"/>
            <w:left w:w="15" w:type="dxa"/>
            <w:bottom w:w="15" w:type="dxa"/>
            <w:right w:w="15" w:type="dxa"/>
          </w:tblCellMar>
        </w:tblPrEx>
        <w:trPr>
          <w:trHeight w:val="90" w:hRule="atLeast"/>
        </w:trPr>
        <w:tc>
          <w:tcPr>
            <w:tcW w:w="1263"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学分绩点</w:t>
            </w:r>
          </w:p>
        </w:tc>
        <w:tc>
          <w:tcPr>
            <w:tcW w:w="997"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2</w:t>
            </w:r>
            <w:r>
              <w:rPr>
                <w:rFonts w:hint="eastAsia" w:ascii="Arial" w:hAnsi="Arial" w:cs="Arial"/>
                <w:kern w:val="0"/>
                <w:sz w:val="18"/>
                <w:szCs w:val="18"/>
                <w:lang w:bidi="ar"/>
              </w:rPr>
              <w:t>.0</w:t>
            </w:r>
          </w:p>
        </w:tc>
        <w:tc>
          <w:tcPr>
            <w:tcW w:w="131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sz w:val="18"/>
                <w:szCs w:val="18"/>
              </w:rPr>
            </w:pPr>
            <w:r>
              <w:rPr>
                <w:rFonts w:ascii="Arial" w:hAnsi="Arial" w:cs="Arial"/>
                <w:kern w:val="0"/>
                <w:sz w:val="18"/>
                <w:szCs w:val="18"/>
                <w:lang w:bidi="ar"/>
              </w:rPr>
              <w:t>1.7</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1.5</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1.3</w:t>
            </w:r>
          </w:p>
        </w:tc>
        <w:tc>
          <w:tcPr>
            <w:tcW w:w="90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1</w:t>
            </w:r>
            <w:r>
              <w:rPr>
                <w:rFonts w:hint="eastAsia" w:ascii="Arial" w:hAnsi="Arial" w:cs="Arial"/>
                <w:kern w:val="0"/>
                <w:sz w:val="18"/>
                <w:szCs w:val="18"/>
                <w:lang w:bidi="ar"/>
              </w:rPr>
              <w:t>.0</w:t>
            </w:r>
          </w:p>
        </w:tc>
        <w:tc>
          <w:tcPr>
            <w:tcW w:w="108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r>
              <w:rPr>
                <w:rFonts w:ascii="Arial" w:hAnsi="Arial" w:cs="Arial"/>
                <w:kern w:val="0"/>
                <w:sz w:val="18"/>
                <w:szCs w:val="18"/>
                <w:lang w:bidi="ar"/>
              </w:rPr>
              <w:t>0</w:t>
            </w:r>
          </w:p>
        </w:tc>
        <w:tc>
          <w:tcPr>
            <w:tcW w:w="1260" w:type="dxa"/>
            <w:shd w:val="clear" w:color="auto" w:fill="FFFFFF"/>
            <w:tcMar>
              <w:top w:w="30" w:type="dxa"/>
              <w:left w:w="150" w:type="dxa"/>
              <w:bottom w:w="30" w:type="dxa"/>
              <w:right w:w="150" w:type="dxa"/>
            </w:tcMar>
            <w:vAlign w:val="top"/>
          </w:tcPr>
          <w:p>
            <w:pPr>
              <w:widowControl/>
              <w:wordWrap w:val="0"/>
              <w:spacing w:line="330" w:lineRule="atLeast"/>
              <w:jc w:val="left"/>
              <w:rPr>
                <w:rFonts w:ascii="Arial" w:hAnsi="Arial" w:cs="Arial"/>
                <w:kern w:val="0"/>
                <w:sz w:val="18"/>
                <w:szCs w:val="18"/>
                <w:lang w:bidi="ar"/>
              </w:rPr>
            </w:pPr>
          </w:p>
        </w:tc>
      </w:tr>
    </w:tbl>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4、参评对象如有单科课程考试成绩低于75分（免修免考成绩不计在内），平均成绩低于80分以下者及有课程重修者，不得参评国家奖学金。</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二、学术科研及专业技能竞赛B</w:t>
      </w:r>
    </w:p>
    <w:p>
      <w:pPr>
        <w:spacing w:line="580" w:lineRule="exact"/>
        <w:ind w:firstLine="633" w:firstLineChars="198"/>
        <w:rPr>
          <w:rFonts w:hint="eastAsia" w:ascii="仿宋_GB2312" w:hAnsi="黑体" w:eastAsia="仿宋_GB2312" w:cs="宋体"/>
          <w:sz w:val="32"/>
          <w:szCs w:val="32"/>
        </w:rPr>
      </w:pPr>
      <w:r>
        <w:rPr>
          <w:rFonts w:hint="eastAsia" w:ascii="仿宋_GB2312" w:hAnsi="黑体" w:eastAsia="仿宋_GB2312" w:cs="宋体"/>
          <w:sz w:val="32"/>
          <w:szCs w:val="32"/>
        </w:rPr>
        <w:t>学术科研和专业技能竞赛分由科研论文（B1）、科研项目（B2）、专业竞赛（B3）、编写著作（B4）、发明专利（B5）共5项分值累加，各分项加分以代表性成果为主，每各分项代表性成果不得超过5项，（特别备注除外）。</w:t>
      </w:r>
    </w:p>
    <w:p>
      <w:pPr>
        <w:spacing w:line="400" w:lineRule="exact"/>
        <w:jc w:val="center"/>
        <w:rPr>
          <w:rFonts w:hint="eastAsia" w:ascii="仿宋_GB2312" w:hAnsi="黑体" w:eastAsia="仿宋_GB2312" w:cs="宋体"/>
          <w:sz w:val="32"/>
          <w:szCs w:val="32"/>
        </w:rPr>
      </w:pPr>
      <w:r>
        <w:rPr>
          <w:rFonts w:hint="eastAsia" w:ascii="仿宋_GB2312" w:hAnsi="黑体" w:eastAsia="仿宋_GB2312" w:cs="宋体"/>
          <w:sz w:val="32"/>
          <w:szCs w:val="32"/>
        </w:rPr>
        <w:t>B</w:t>
      </w:r>
      <w:r>
        <w:rPr>
          <w:rFonts w:ascii="仿宋_GB2312" w:hAnsi="黑体" w:eastAsia="仿宋_GB2312" w:cs="宋体"/>
          <w:sz w:val="32"/>
          <w:szCs w:val="32"/>
        </w:rPr>
        <w:t>＝</w:t>
      </w:r>
      <w:r>
        <w:rPr>
          <w:rFonts w:hint="eastAsia" w:ascii="仿宋_GB2312" w:hAnsi="黑体" w:eastAsia="仿宋_GB2312" w:cs="宋体"/>
          <w:sz w:val="32"/>
          <w:szCs w:val="32"/>
        </w:rPr>
        <w:t>B1+B2+B3+B4+B5</w:t>
      </w:r>
    </w:p>
    <w:p>
      <w:pPr>
        <w:spacing w:line="40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1、科研论文（B1）</w:t>
      </w:r>
    </w:p>
    <w:tbl>
      <w:tblPr>
        <w:tblStyle w:val="13"/>
        <w:tblW w:w="6575" w:type="dxa"/>
        <w:jc w:val="center"/>
        <w:tblCellSpacing w:w="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4065"/>
        <w:gridCol w:w="25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jc w:val="center"/>
              <w:rPr>
                <w:rFonts w:hint="eastAsia" w:ascii="宋体" w:hAnsi="宋体" w:cs="宋体"/>
                <w:b/>
                <w:bCs/>
              </w:rPr>
            </w:pPr>
            <w:r>
              <w:rPr>
                <w:rFonts w:hint="eastAsia" w:ascii="宋体" w:hAnsi="宋体" w:cs="宋体"/>
                <w:b/>
                <w:bCs/>
              </w:rPr>
              <w:t>公开发表刊物类型</w:t>
            </w:r>
          </w:p>
        </w:tc>
        <w:tc>
          <w:tcPr>
            <w:tcW w:w="2510" w:type="dxa"/>
            <w:vAlign w:val="center"/>
          </w:tcPr>
          <w:p>
            <w:pPr>
              <w:jc w:val="center"/>
              <w:rPr>
                <w:rFonts w:hint="eastAsia" w:ascii="宋体" w:hAnsi="宋体" w:cs="宋体"/>
                <w:b/>
                <w:bCs/>
              </w:rPr>
            </w:pPr>
            <w:r>
              <w:rPr>
                <w:rFonts w:hint="eastAsia" w:ascii="宋体" w:hAnsi="宋体" w:cs="宋体"/>
                <w:b/>
                <w:bCs/>
              </w:rPr>
              <w:t>得 分（篇）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pStyle w:val="9"/>
              <w:adjustRightInd w:val="0"/>
              <w:snapToGrid w:val="0"/>
              <w:spacing w:after="0" w:afterAutospacing="0" w:line="0" w:lineRule="atLeast"/>
              <w:ind w:right="-117"/>
              <w:jc w:val="center"/>
              <w:rPr>
                <w:rFonts w:hint="eastAsia"/>
                <w:b/>
                <w:bCs/>
                <w:sz w:val="21"/>
                <w:szCs w:val="21"/>
              </w:rPr>
            </w:pPr>
            <w:r>
              <w:rPr>
                <w:b/>
                <w:bCs/>
                <w:sz w:val="21"/>
                <w:szCs w:val="21"/>
              </w:rPr>
              <w:t>权威期刊</w:t>
            </w:r>
            <w:r>
              <w:rPr>
                <w:rFonts w:hint="eastAsia"/>
                <w:b/>
                <w:bCs/>
                <w:sz w:val="21"/>
                <w:szCs w:val="21"/>
              </w:rPr>
              <w:t>（A级刊物）</w:t>
            </w:r>
          </w:p>
        </w:tc>
        <w:tc>
          <w:tcPr>
            <w:tcW w:w="2510" w:type="dxa"/>
            <w:vAlign w:val="center"/>
          </w:tcPr>
          <w:p>
            <w:pPr>
              <w:jc w:val="center"/>
              <w:rPr>
                <w:rFonts w:hint="eastAsia" w:ascii="宋体" w:hAnsi="宋体" w:cs="宋体"/>
                <w:b/>
                <w:bCs/>
                <w:szCs w:val="21"/>
              </w:rPr>
            </w:pPr>
            <w:r>
              <w:rPr>
                <w:rFonts w:hint="eastAsia" w:ascii="宋体" w:hAnsi="宋体" w:cs="宋体"/>
                <w:b/>
                <w:bCs/>
                <w:szCs w:val="21"/>
              </w:rPr>
              <w:t>≦40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pStyle w:val="9"/>
              <w:adjustRightInd w:val="0"/>
              <w:snapToGrid w:val="0"/>
              <w:spacing w:after="0" w:afterAutospacing="0" w:line="0" w:lineRule="atLeast"/>
              <w:ind w:right="-117"/>
              <w:jc w:val="center"/>
              <w:rPr>
                <w:b/>
                <w:bCs/>
                <w:sz w:val="21"/>
                <w:szCs w:val="21"/>
              </w:rPr>
            </w:pPr>
            <w:r>
              <w:rPr>
                <w:b/>
                <w:bCs/>
                <w:sz w:val="21"/>
                <w:szCs w:val="21"/>
              </w:rPr>
              <w:t>权威期刊</w:t>
            </w:r>
            <w:r>
              <w:rPr>
                <w:rFonts w:hint="eastAsia"/>
                <w:b/>
                <w:bCs/>
                <w:sz w:val="21"/>
                <w:szCs w:val="21"/>
              </w:rPr>
              <w:t>（B级刊物）</w:t>
            </w:r>
          </w:p>
        </w:tc>
        <w:tc>
          <w:tcPr>
            <w:tcW w:w="2510" w:type="dxa"/>
            <w:vAlign w:val="center"/>
          </w:tcPr>
          <w:p>
            <w:pPr>
              <w:jc w:val="center"/>
              <w:rPr>
                <w:rFonts w:hint="eastAsia" w:ascii="宋体" w:hAnsi="宋体" w:cs="宋体"/>
                <w:b/>
                <w:bCs/>
                <w:szCs w:val="21"/>
              </w:rPr>
            </w:pPr>
            <w:r>
              <w:rPr>
                <w:rFonts w:hint="eastAsia" w:ascii="宋体" w:hAnsi="宋体" w:cs="宋体"/>
                <w:b/>
                <w:bCs/>
                <w:szCs w:val="21"/>
              </w:rPr>
              <w:t>≦30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jc w:val="center"/>
              <w:rPr>
                <w:rFonts w:hint="eastAsia" w:ascii="宋体" w:hAnsi="宋体" w:cs="宋体"/>
                <w:b/>
                <w:bCs/>
                <w:szCs w:val="21"/>
              </w:rPr>
            </w:pPr>
            <w:r>
              <w:rPr>
                <w:rFonts w:ascii="宋体" w:hAnsi="宋体" w:cs="宋体"/>
                <w:b/>
                <w:bCs/>
                <w:szCs w:val="21"/>
              </w:rPr>
              <w:t>核心期刊</w:t>
            </w:r>
            <w:r>
              <w:rPr>
                <w:rFonts w:hint="eastAsia" w:ascii="宋体" w:hAnsi="宋体" w:cs="宋体"/>
                <w:b/>
                <w:bCs/>
                <w:szCs w:val="21"/>
              </w:rPr>
              <w:t>（C</w:t>
            </w:r>
            <w:r>
              <w:rPr>
                <w:rFonts w:hint="eastAsia" w:ascii="宋体" w:hAnsi="宋体"/>
                <w:b/>
                <w:bCs/>
                <w:szCs w:val="21"/>
              </w:rPr>
              <w:t>级刊物</w:t>
            </w:r>
            <w:r>
              <w:rPr>
                <w:rFonts w:hint="eastAsia" w:ascii="宋体" w:hAnsi="宋体" w:cs="宋体"/>
                <w:b/>
                <w:bCs/>
                <w:szCs w:val="21"/>
              </w:rPr>
              <w:t>）</w:t>
            </w:r>
          </w:p>
        </w:tc>
        <w:tc>
          <w:tcPr>
            <w:tcW w:w="2510" w:type="dxa"/>
            <w:vAlign w:val="center"/>
          </w:tcPr>
          <w:p>
            <w:pPr>
              <w:jc w:val="center"/>
              <w:rPr>
                <w:rFonts w:hint="eastAsia" w:ascii="宋体" w:hAnsi="宋体" w:cs="宋体"/>
                <w:b/>
                <w:bCs/>
                <w:szCs w:val="21"/>
              </w:rPr>
            </w:pPr>
            <w:r>
              <w:rPr>
                <w:rFonts w:hint="eastAsia" w:ascii="宋体" w:hAnsi="宋体" w:cs="宋体"/>
                <w:b/>
                <w:bCs/>
                <w:szCs w:val="21"/>
              </w:rPr>
              <w:t>≦20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jc w:val="center"/>
              <w:rPr>
                <w:rFonts w:ascii="宋体" w:hAnsi="宋体" w:cs="宋体"/>
                <w:b/>
                <w:bCs/>
                <w:szCs w:val="21"/>
              </w:rPr>
            </w:pPr>
            <w:r>
              <w:rPr>
                <w:rFonts w:ascii="宋体" w:hAnsi="宋体" w:cs="宋体"/>
                <w:b/>
                <w:bCs/>
                <w:szCs w:val="21"/>
              </w:rPr>
              <w:t>核心期刊</w:t>
            </w:r>
            <w:r>
              <w:rPr>
                <w:rFonts w:hint="eastAsia" w:ascii="宋体" w:hAnsi="宋体" w:cs="宋体"/>
                <w:b/>
                <w:bCs/>
                <w:szCs w:val="21"/>
              </w:rPr>
              <w:t>（D</w:t>
            </w:r>
            <w:r>
              <w:rPr>
                <w:rFonts w:hint="eastAsia" w:ascii="宋体" w:hAnsi="宋体"/>
                <w:b/>
                <w:bCs/>
                <w:szCs w:val="21"/>
              </w:rPr>
              <w:t>级刊物</w:t>
            </w:r>
            <w:r>
              <w:rPr>
                <w:rFonts w:hint="eastAsia" w:ascii="宋体" w:hAnsi="宋体" w:cs="宋体"/>
                <w:b/>
                <w:bCs/>
                <w:szCs w:val="21"/>
              </w:rPr>
              <w:t>）</w:t>
            </w:r>
          </w:p>
        </w:tc>
        <w:tc>
          <w:tcPr>
            <w:tcW w:w="2510" w:type="dxa"/>
            <w:vAlign w:val="center"/>
          </w:tcPr>
          <w:p>
            <w:pPr>
              <w:jc w:val="center"/>
              <w:rPr>
                <w:rFonts w:hint="eastAsia" w:ascii="宋体" w:hAnsi="宋体" w:cs="宋体"/>
                <w:b/>
                <w:bCs/>
                <w:szCs w:val="21"/>
              </w:rPr>
            </w:pPr>
            <w:r>
              <w:rPr>
                <w:rFonts w:hint="eastAsia" w:ascii="宋体" w:hAnsi="宋体" w:cs="宋体"/>
                <w:b/>
                <w:bCs/>
                <w:szCs w:val="21"/>
              </w:rPr>
              <w:t>≦16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jc w:val="center"/>
              <w:rPr>
                <w:rFonts w:hint="eastAsia" w:ascii="宋体" w:hAnsi="宋体" w:cs="宋体"/>
                <w:b/>
                <w:bCs/>
                <w:szCs w:val="21"/>
              </w:rPr>
            </w:pPr>
            <w:r>
              <w:rPr>
                <w:rFonts w:hint="eastAsia" w:ascii="宋体" w:hAnsi="宋体" w:cs="宋体"/>
                <w:b/>
                <w:bCs/>
                <w:szCs w:val="21"/>
              </w:rPr>
              <w:t>E级、北大中文核心刊物</w:t>
            </w:r>
          </w:p>
        </w:tc>
        <w:tc>
          <w:tcPr>
            <w:tcW w:w="2510" w:type="dxa"/>
            <w:vAlign w:val="center"/>
          </w:tcPr>
          <w:p>
            <w:pPr>
              <w:jc w:val="center"/>
              <w:rPr>
                <w:rFonts w:hint="eastAsia" w:ascii="宋体" w:hAnsi="宋体" w:cs="宋体"/>
                <w:b/>
                <w:bCs/>
                <w:szCs w:val="21"/>
              </w:rPr>
            </w:pPr>
            <w:r>
              <w:rPr>
                <w:rFonts w:hint="eastAsia" w:ascii="宋体" w:hAnsi="宋体" w:cs="宋体"/>
                <w:b/>
                <w:bCs/>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98" w:hRule="atLeast"/>
          <w:tblCellSpacing w:w="0" w:type="dxa"/>
          <w:jc w:val="center"/>
        </w:trPr>
        <w:tc>
          <w:tcPr>
            <w:tcW w:w="4065" w:type="dxa"/>
            <w:vAlign w:val="center"/>
          </w:tcPr>
          <w:p>
            <w:pPr>
              <w:jc w:val="center"/>
              <w:rPr>
                <w:rFonts w:hint="eastAsia" w:ascii="宋体" w:hAnsi="宋体" w:cs="宋体"/>
                <w:b/>
                <w:bCs/>
                <w:szCs w:val="21"/>
              </w:rPr>
            </w:pPr>
            <w:r>
              <w:rPr>
                <w:rFonts w:ascii="宋体" w:hAnsi="宋体" w:cs="宋体"/>
                <w:b/>
                <w:bCs/>
                <w:szCs w:val="21"/>
              </w:rPr>
              <w:t>一般</w:t>
            </w:r>
            <w:r>
              <w:rPr>
                <w:rFonts w:hint="eastAsia" w:ascii="宋体" w:hAnsi="宋体" w:cs="宋体"/>
                <w:b/>
                <w:bCs/>
                <w:szCs w:val="21"/>
              </w:rPr>
              <w:t>期</w:t>
            </w:r>
            <w:r>
              <w:rPr>
                <w:rFonts w:ascii="宋体" w:hAnsi="宋体" w:cs="宋体"/>
                <w:b/>
                <w:bCs/>
                <w:szCs w:val="21"/>
              </w:rPr>
              <w:t>刊</w:t>
            </w:r>
          </w:p>
        </w:tc>
        <w:tc>
          <w:tcPr>
            <w:tcW w:w="2510" w:type="dxa"/>
            <w:vAlign w:val="center"/>
          </w:tcPr>
          <w:p>
            <w:pPr>
              <w:jc w:val="center"/>
              <w:rPr>
                <w:rFonts w:hint="eastAsia" w:ascii="宋体" w:hAnsi="宋体" w:cs="宋体"/>
                <w:b/>
                <w:bCs/>
                <w:szCs w:val="21"/>
              </w:rPr>
            </w:pPr>
            <w:r>
              <w:rPr>
                <w:rFonts w:hint="eastAsia" w:ascii="宋体" w:hAnsi="宋体" w:cs="宋体"/>
                <w:b/>
                <w:bCs/>
                <w:szCs w:val="21"/>
              </w:rPr>
              <w:t>≦5</w:t>
            </w:r>
          </w:p>
        </w:tc>
      </w:tr>
    </w:tbl>
    <w:p>
      <w:pPr>
        <w:spacing w:line="580" w:lineRule="exact"/>
        <w:ind w:firstLine="640" w:firstLineChars="200"/>
        <w:rPr>
          <w:rFonts w:hint="eastAsia" w:ascii="仿宋_GB2312" w:hAnsi="黑体" w:eastAsia="仿宋_GB2312" w:cs="宋体"/>
          <w:sz w:val="32"/>
          <w:szCs w:val="32"/>
        </w:rPr>
      </w:pPr>
      <w:r>
        <w:rPr>
          <w:rFonts w:ascii="仿宋_GB2312" w:hAnsi="黑体" w:eastAsia="仿宋_GB2312" w:cs="宋体"/>
          <w:sz w:val="32"/>
          <w:szCs w:val="32"/>
        </w:rPr>
        <w:t>说明</w:t>
      </w:r>
      <w:r>
        <w:rPr>
          <w:rFonts w:hint="eastAsia" w:ascii="仿宋_GB2312" w:hAnsi="黑体" w:eastAsia="仿宋_GB2312" w:cs="宋体"/>
          <w:sz w:val="32"/>
          <w:szCs w:val="32"/>
        </w:rPr>
        <w:t>：</w:t>
      </w:r>
    </w:p>
    <w:p>
      <w:pPr>
        <w:spacing w:line="580" w:lineRule="exact"/>
        <w:ind w:firstLine="640" w:firstLineChars="200"/>
        <w:rPr>
          <w:rFonts w:hint="eastAsia" w:ascii="仿宋_GB2312" w:hAnsi="黑体" w:eastAsia="仿宋_GB2312" w:cs="宋体"/>
          <w:sz w:val="32"/>
          <w:szCs w:val="32"/>
        </w:rPr>
      </w:pPr>
      <w:r>
        <w:rPr>
          <w:rFonts w:hint="eastAsia" w:ascii="仿宋_GB2312" w:hAnsi="ˎ̥" w:eastAsia="仿宋_GB2312" w:cs="宋体"/>
          <w:kern w:val="0"/>
          <w:sz w:val="32"/>
          <w:szCs w:val="32"/>
        </w:rPr>
        <w:t>（1）期刊目录参见《吉首大学科学技术奖励办法》。</w:t>
      </w:r>
    </w:p>
    <w:p>
      <w:pPr>
        <w:widowControl/>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2）学术论文系多人合作共同署名发表的（研究生按实际排名统计,第二作者限制2篇），具体分配比例为：二人的分别为70%、30%；三人的分别为50%、30%、20%；四人的分别为50%、20%、20%、10%；五人的分别为50%、20%、10%、10%、10%，排名在第五以后的不予计分。上述分值按实际排名计分，其中社科排名，前2名有效；自科排名，前5有效。</w:t>
      </w:r>
    </w:p>
    <w:p>
      <w:pPr>
        <w:widowControl/>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（3）同一篇论文被多次转载，只能计一次最高分。</w:t>
      </w:r>
    </w:p>
    <w:p>
      <w:pPr>
        <w:widowControl/>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（4）学校内部刊物按2分/篇计。</w:t>
      </w:r>
    </w:p>
    <w:p>
      <w:pPr>
        <w:widowControl/>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（5）期刊等级的认定和分值计算，各二级培养单位可制订相应办法。</w:t>
      </w:r>
    </w:p>
    <w:p>
      <w:pPr>
        <w:spacing w:line="580" w:lineRule="exact"/>
        <w:ind w:firstLine="633" w:firstLineChars="198"/>
        <w:rPr>
          <w:rFonts w:hint="eastAsia" w:ascii="仿宋_GB2312" w:hAnsi="黑体" w:eastAsia="仿宋_GB2312" w:cs="宋体"/>
          <w:sz w:val="32"/>
          <w:szCs w:val="32"/>
        </w:rPr>
      </w:pPr>
      <w:r>
        <w:rPr>
          <w:rFonts w:hint="eastAsia" w:ascii="仿宋_GB2312" w:hAnsi="ˎ̥" w:eastAsia="仿宋_GB2312" w:cs="宋体"/>
          <w:kern w:val="0"/>
          <w:sz w:val="32"/>
          <w:szCs w:val="32"/>
        </w:rPr>
        <w:t>（6）省级专业论文分值只限报5篇最具代表性的论文，超出的论文不计分（C级以上核心期刊不限篇数）。</w:t>
      </w:r>
    </w:p>
    <w:p>
      <w:pPr>
        <w:spacing w:line="580" w:lineRule="exact"/>
        <w:ind w:firstLine="633" w:firstLineChars="198"/>
        <w:rPr>
          <w:rFonts w:hint="eastAsia" w:ascii="仿宋_GB2312" w:hAnsi="黑体" w:eastAsia="仿宋_GB2312" w:cs="宋体"/>
          <w:sz w:val="32"/>
          <w:szCs w:val="32"/>
        </w:rPr>
      </w:pPr>
      <w:r>
        <w:rPr>
          <w:rFonts w:ascii="仿宋_GB2312" w:hAnsi="黑体" w:eastAsia="仿宋_GB2312" w:cs="宋体"/>
          <w:sz w:val="32"/>
          <w:szCs w:val="32"/>
        </w:rPr>
        <w:t>2</w:t>
      </w:r>
      <w:r>
        <w:rPr>
          <w:rFonts w:hint="eastAsia" w:ascii="仿宋_GB2312" w:hAnsi="黑体" w:eastAsia="仿宋_GB2312" w:cs="宋体"/>
          <w:sz w:val="32"/>
          <w:szCs w:val="32"/>
        </w:rPr>
        <w:t>、</w:t>
      </w:r>
      <w:r>
        <w:rPr>
          <w:rFonts w:ascii="仿宋_GB2312" w:hAnsi="黑体" w:eastAsia="仿宋_GB2312" w:cs="宋体"/>
          <w:sz w:val="32"/>
          <w:szCs w:val="32"/>
        </w:rPr>
        <w:t>科研项目</w:t>
      </w:r>
      <w:r>
        <w:rPr>
          <w:rFonts w:hint="eastAsia" w:ascii="仿宋_GB2312" w:hAnsi="黑体" w:eastAsia="仿宋_GB2312" w:cs="宋体"/>
          <w:sz w:val="32"/>
          <w:szCs w:val="32"/>
        </w:rPr>
        <w:t>（B</w:t>
      </w:r>
      <w:r>
        <w:rPr>
          <w:rFonts w:ascii="仿宋_GB2312" w:hAnsi="黑体" w:eastAsia="仿宋_GB2312" w:cs="宋体"/>
          <w:sz w:val="32"/>
          <w:szCs w:val="32"/>
        </w:rPr>
        <w:t>2</w:t>
      </w:r>
      <w:r>
        <w:rPr>
          <w:rFonts w:hint="eastAsia" w:ascii="仿宋_GB2312" w:hAnsi="黑体" w:eastAsia="仿宋_GB2312" w:cs="宋体"/>
          <w:sz w:val="32"/>
          <w:szCs w:val="32"/>
        </w:rPr>
        <w:t xml:space="preserve">）  </w:t>
      </w:r>
    </w:p>
    <w:p>
      <w:pPr>
        <w:spacing w:line="580" w:lineRule="exact"/>
        <w:ind w:firstLine="633" w:firstLineChars="198"/>
        <w:rPr>
          <w:rFonts w:hint="eastAsia" w:ascii="仿宋_GB2312" w:hAnsi="黑体" w:eastAsia="仿宋_GB2312" w:cs="宋体"/>
          <w:sz w:val="32"/>
          <w:szCs w:val="32"/>
        </w:rPr>
      </w:pPr>
      <w:r>
        <w:rPr>
          <w:rFonts w:hint="eastAsia" w:ascii="仿宋_GB2312" w:hAnsi="ˎ̥" w:eastAsia="仿宋_GB2312" w:cs="宋体"/>
          <w:kern w:val="0"/>
          <w:sz w:val="32"/>
          <w:szCs w:val="32"/>
        </w:rPr>
        <w:t>科研项目以立项下达文件及结题证书为依据，主持项目不限，参与项目限报2项。</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（1）立项分值：</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课题立项分在该课题立项当年一次性计算。课题立项分由项目负责人和参与人员按比例分配，具体分配比例为：二人的分别为70%、30%；三人的分别为50%、30%、20%；四人的分别为50%、20%、20%、10%；五人的分别为50%、20%、10%、10%、10%，排名在第五以后的不予计分。</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（2）结题分值：</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课题结题分在该课题结题当年一次性计算。按期结题按100%计算，分值由项目组人员按比例享受，主持人占60%，参加人员平均分配40%，延期一年结题按50%计算，延期二年结题按20%计算，延期结题分由项目负责人单独享受。延期二年以上（不包括二年）结题则取消结题分。</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表2各类科研项目得分标准</w:t>
      </w:r>
    </w:p>
    <w:tbl>
      <w:tblPr>
        <w:tblStyle w:val="13"/>
        <w:tblW w:w="8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4"/>
        <w:gridCol w:w="1187"/>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6474"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项目类别（以《吉首大学科研经费配套管理办法》为准）</w:t>
            </w:r>
          </w:p>
        </w:tc>
        <w:tc>
          <w:tcPr>
            <w:tcW w:w="1187"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立项分值</w:t>
            </w:r>
          </w:p>
        </w:tc>
        <w:tc>
          <w:tcPr>
            <w:tcW w:w="1199"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结题分值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8" w:hRule="atLeast"/>
        </w:trPr>
        <w:tc>
          <w:tcPr>
            <w:tcW w:w="6474"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 xml:space="preserve">国家级：国家自科基金项目、国家社科基金项目、国家软科学项目、国家“973”“863”计划项目、国家科技支撑计划、科技基础条件平台建设计划、重大专项、国家教育科学规划项目 </w:t>
            </w:r>
          </w:p>
        </w:tc>
        <w:tc>
          <w:tcPr>
            <w:tcW w:w="1187"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≦20分</w:t>
            </w:r>
          </w:p>
        </w:tc>
        <w:tc>
          <w:tcPr>
            <w:tcW w:w="1199"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trPr>
        <w:tc>
          <w:tcPr>
            <w:tcW w:w="6474"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省部级：科技部其他项目、国家级项目子课题（以正式下达吉首大学的立项批文和课题申报书为准）、教育部项目、省自科基金项目 、省社科基金项目 、省社科联项目 、省软科学项目 、省教育科学规划项目、省教研教改课题、省研究生创新课题等</w:t>
            </w:r>
          </w:p>
        </w:tc>
        <w:tc>
          <w:tcPr>
            <w:tcW w:w="1187"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≦12分</w:t>
            </w:r>
          </w:p>
        </w:tc>
        <w:tc>
          <w:tcPr>
            <w:tcW w:w="1199"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74"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州科技局计划项目、州社科联课题、校级科研课题、教研教改课题</w:t>
            </w:r>
          </w:p>
        </w:tc>
        <w:tc>
          <w:tcPr>
            <w:tcW w:w="1187"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≦5分</w:t>
            </w:r>
          </w:p>
        </w:tc>
        <w:tc>
          <w:tcPr>
            <w:tcW w:w="1199" w:type="dxa"/>
            <w:tcBorders>
              <w:top w:val="single" w:color="auto" w:sz="4" w:space="0"/>
              <w:left w:val="single" w:color="auto" w:sz="4" w:space="0"/>
              <w:bottom w:val="single" w:color="auto" w:sz="4" w:space="0"/>
              <w:right w:val="single" w:color="auto" w:sz="4" w:space="0"/>
            </w:tcBorders>
            <w:vAlign w:val="center"/>
          </w:tcPr>
          <w:p>
            <w:pPr>
              <w:widowControl/>
              <w:tabs>
                <w:tab w:val="left" w:pos="360"/>
              </w:tabs>
              <w:spacing w:line="36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≦8分</w:t>
            </w:r>
          </w:p>
        </w:tc>
      </w:tr>
    </w:tbl>
    <w:p>
      <w:pPr>
        <w:spacing w:line="580" w:lineRule="exact"/>
        <w:ind w:firstLine="640" w:firstLineChars="200"/>
        <w:rPr>
          <w:rFonts w:hint="eastAsia" w:ascii="仿宋_GB2312" w:hAnsi="黑体" w:eastAsia="仿宋_GB2312" w:cs="宋体"/>
          <w:sz w:val="32"/>
          <w:szCs w:val="32"/>
        </w:rPr>
      </w:pPr>
      <w:r>
        <w:rPr>
          <w:rFonts w:ascii="仿宋_GB2312" w:hAnsi="黑体" w:eastAsia="仿宋_GB2312" w:cs="宋体"/>
          <w:sz w:val="32"/>
          <w:szCs w:val="32"/>
        </w:rPr>
        <w:t>3</w:t>
      </w:r>
      <w:r>
        <w:rPr>
          <w:rFonts w:hint="eastAsia" w:ascii="仿宋_GB2312" w:hAnsi="黑体" w:eastAsia="仿宋_GB2312" w:cs="宋体"/>
          <w:sz w:val="32"/>
          <w:szCs w:val="32"/>
        </w:rPr>
        <w:t>、专业竞赛（B3）</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（1）参加 “挑战杯”课外科技作品比赛、湖南省研究生创新论坛、数学建模等学科专业学术性比赛按《政府部门、各级协会、学会等学术活动及奖项分值》加分。专业竞赛奖项只限报5项最具代表性的奖励，超出的项目不计分。</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政府部门、各级协会、学会等学术活动及奖项分值</w:t>
      </w:r>
    </w:p>
    <w:tbl>
      <w:tblPr>
        <w:tblStyle w:val="13"/>
        <w:tblW w:w="8321" w:type="dxa"/>
        <w:tblCellSpacing w:w="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12"/>
        <w:gridCol w:w="2335"/>
        <w:gridCol w:w="1977"/>
        <w:gridCol w:w="21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blCellSpacing w:w="0" w:type="dxa"/>
        </w:trPr>
        <w:tc>
          <w:tcPr>
            <w:tcW w:w="1812"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140" w:firstLineChars="50"/>
              <w:rPr>
                <w:rFonts w:hint="eastAsia" w:ascii="仿宋_GB2312" w:hAnsi="ˎ̥" w:eastAsia="仿宋_GB2312" w:cs="宋体"/>
                <w:kern w:val="0"/>
                <w:sz w:val="28"/>
                <w:szCs w:val="28"/>
              </w:rPr>
            </w:pPr>
            <w:r>
              <w:rPr>
                <w:rFonts w:hint="eastAsia" w:ascii="仿宋_GB2312" w:hAnsi="ˎ̥" w:eastAsia="仿宋_GB2312" w:cs="宋体"/>
                <w:kern w:val="0"/>
                <w:sz w:val="28"/>
                <w:szCs w:val="28"/>
              </w:rPr>
              <w:t>获奖级别</w:t>
            </w:r>
          </w:p>
        </w:tc>
        <w:tc>
          <w:tcPr>
            <w:tcW w:w="2335"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国家级</w:t>
            </w:r>
          </w:p>
        </w:tc>
        <w:tc>
          <w:tcPr>
            <w:tcW w:w="197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省、部级</w:t>
            </w:r>
          </w:p>
        </w:tc>
        <w:tc>
          <w:tcPr>
            <w:tcW w:w="219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州、校级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blCellSpacing w:w="0" w:type="dxa"/>
        </w:trPr>
        <w:tc>
          <w:tcPr>
            <w:tcW w:w="1812"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一等或特等</w:t>
            </w:r>
          </w:p>
        </w:tc>
        <w:tc>
          <w:tcPr>
            <w:tcW w:w="2335"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≦20</w:t>
            </w:r>
          </w:p>
        </w:tc>
        <w:tc>
          <w:tcPr>
            <w:tcW w:w="197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≦12</w:t>
            </w:r>
          </w:p>
        </w:tc>
        <w:tc>
          <w:tcPr>
            <w:tcW w:w="219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blCellSpacing w:w="0" w:type="dxa"/>
        </w:trPr>
        <w:tc>
          <w:tcPr>
            <w:tcW w:w="1812"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二等</w:t>
            </w:r>
          </w:p>
        </w:tc>
        <w:tc>
          <w:tcPr>
            <w:tcW w:w="2335"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≦16</w:t>
            </w:r>
          </w:p>
        </w:tc>
        <w:tc>
          <w:tcPr>
            <w:tcW w:w="197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≦10</w:t>
            </w:r>
          </w:p>
        </w:tc>
        <w:tc>
          <w:tcPr>
            <w:tcW w:w="219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blCellSpacing w:w="0" w:type="dxa"/>
        </w:trPr>
        <w:tc>
          <w:tcPr>
            <w:tcW w:w="1812"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三等</w:t>
            </w:r>
          </w:p>
        </w:tc>
        <w:tc>
          <w:tcPr>
            <w:tcW w:w="2335"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≦12</w:t>
            </w:r>
          </w:p>
        </w:tc>
        <w:tc>
          <w:tcPr>
            <w:tcW w:w="197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≦8</w:t>
            </w:r>
          </w:p>
        </w:tc>
        <w:tc>
          <w:tcPr>
            <w:tcW w:w="219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blCellSpacing w:w="0" w:type="dxa"/>
        </w:trPr>
        <w:tc>
          <w:tcPr>
            <w:tcW w:w="1812"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rPr>
                <w:rFonts w:hint="eastAsia" w:ascii="仿宋_GB2312" w:hAnsi="ˎ̥" w:eastAsia="仿宋_GB2312" w:cs="宋体"/>
                <w:kern w:val="0"/>
                <w:sz w:val="28"/>
                <w:szCs w:val="28"/>
              </w:rPr>
            </w:pPr>
            <w:r>
              <w:rPr>
                <w:rFonts w:hint="eastAsia" w:ascii="仿宋_GB2312" w:hAnsi="ˎ̥" w:eastAsia="仿宋_GB2312" w:cs="宋体"/>
                <w:kern w:val="0"/>
                <w:sz w:val="28"/>
                <w:szCs w:val="28"/>
              </w:rPr>
              <w:t>四等或优秀</w:t>
            </w:r>
          </w:p>
        </w:tc>
        <w:tc>
          <w:tcPr>
            <w:tcW w:w="2335"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≦10</w:t>
            </w:r>
          </w:p>
        </w:tc>
        <w:tc>
          <w:tcPr>
            <w:tcW w:w="197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≦6</w:t>
            </w:r>
          </w:p>
        </w:tc>
        <w:tc>
          <w:tcPr>
            <w:tcW w:w="2197" w:type="dxa"/>
            <w:tcBorders>
              <w:top w:val="single" w:color="000000" w:sz="6" w:space="0"/>
              <w:left w:val="single" w:color="000000" w:sz="6" w:space="0"/>
              <w:bottom w:val="single" w:color="000000" w:sz="6" w:space="0"/>
              <w:right w:val="single" w:color="000000" w:sz="6" w:space="0"/>
            </w:tcBorders>
            <w:vAlign w:val="center"/>
          </w:tcPr>
          <w:p>
            <w:pPr>
              <w:widowControl/>
              <w:tabs>
                <w:tab w:val="left" w:pos="360"/>
              </w:tabs>
              <w:spacing w:line="580" w:lineRule="exact"/>
              <w:ind w:firstLine="560" w:firstLineChars="200"/>
              <w:rPr>
                <w:rFonts w:hint="eastAsia" w:ascii="仿宋_GB2312" w:hAnsi="ˎ̥" w:eastAsia="仿宋_GB2312" w:cs="宋体"/>
                <w:kern w:val="0"/>
                <w:sz w:val="28"/>
                <w:szCs w:val="28"/>
              </w:rPr>
            </w:pPr>
            <w:r>
              <w:rPr>
                <w:rFonts w:hint="eastAsia" w:ascii="仿宋_GB2312" w:hAnsi="ˎ̥" w:eastAsia="仿宋_GB2312" w:cs="宋体"/>
                <w:kern w:val="0"/>
                <w:sz w:val="28"/>
                <w:szCs w:val="28"/>
              </w:rPr>
              <w:t>≦2</w:t>
            </w:r>
          </w:p>
        </w:tc>
      </w:tr>
    </w:tbl>
    <w:p>
      <w:pPr>
        <w:spacing w:line="580" w:lineRule="exact"/>
        <w:ind w:firstLine="640" w:firstLineChars="200"/>
        <w:rPr>
          <w:rFonts w:hint="eastAsia" w:ascii="仿宋_GB2312" w:hAnsi="黑体" w:eastAsia="仿宋_GB2312" w:cs="宋体"/>
          <w:sz w:val="30"/>
          <w:szCs w:val="30"/>
        </w:rPr>
      </w:pPr>
      <w:r>
        <w:rPr>
          <w:rFonts w:hint="eastAsia" w:ascii="仿宋_GB2312" w:hAnsi="ˎ̥" w:eastAsia="仿宋_GB2312" w:cs="宋体"/>
          <w:kern w:val="0"/>
          <w:sz w:val="32"/>
          <w:szCs w:val="32"/>
        </w:rPr>
        <w:t>（2）共同参与合作的获奖分值根据负责人和参与人员按比例分配，具体分配比例为：二人的分别为70%、30%；三人的分别为50%、30%、20%；四人的分别为50%、20%、20%、10%；五人的分别为50%、20%、10%、10%、10%，排名在第五以后的不予计分。所获奖项为团体奖，但排名不分先后的，所有获奖成员平均分配最高加分分值。同一项目重复获奖的，按最高类别计算。</w:t>
      </w:r>
    </w:p>
    <w:p>
      <w:pPr>
        <w:spacing w:line="40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4、撰写著作、文章</w:t>
      </w:r>
      <w:r>
        <w:rPr>
          <w:rFonts w:ascii="仿宋_GB2312" w:hAnsi="黑体" w:eastAsia="仿宋_GB2312" w:cs="宋体"/>
          <w:sz w:val="32"/>
          <w:szCs w:val="32"/>
        </w:rPr>
        <w:t>（</w:t>
      </w:r>
      <w:r>
        <w:rPr>
          <w:rFonts w:hint="eastAsia" w:ascii="仿宋_GB2312" w:hAnsi="黑体" w:eastAsia="仿宋_GB2312" w:cs="宋体"/>
          <w:sz w:val="32"/>
          <w:szCs w:val="32"/>
        </w:rPr>
        <w:t>B4</w:t>
      </w:r>
      <w:r>
        <w:rPr>
          <w:rFonts w:ascii="仿宋_GB2312" w:hAnsi="黑体" w:eastAsia="仿宋_GB2312" w:cs="宋体"/>
          <w:sz w:val="32"/>
          <w:szCs w:val="32"/>
        </w:rPr>
        <w:t>）</w:t>
      </w:r>
      <w:r>
        <w:rPr>
          <w:rFonts w:hint="eastAsia" w:ascii="仿宋_GB2312" w:hAnsi="黑体" w:eastAsia="仿宋_GB2312" w:cs="宋体"/>
          <w:sz w:val="32"/>
          <w:szCs w:val="32"/>
        </w:rPr>
        <w:t xml:space="preserve"> </w:t>
      </w:r>
    </w:p>
    <w:tbl>
      <w:tblPr>
        <w:tblStyle w:val="13"/>
        <w:tblW w:w="6223" w:type="dxa"/>
        <w:tblCellSpacing w:w="0" w:type="dxa"/>
        <w:tblInd w:w="73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520"/>
        <w:gridCol w:w="2084"/>
        <w:gridCol w:w="16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hint="eastAsia" w:ascii="宋体" w:hAnsi="宋体" w:cs="宋体"/>
                <w:b/>
                <w:bCs/>
              </w:rPr>
            </w:pPr>
            <w:r>
              <w:rPr>
                <w:rFonts w:hint="eastAsia" w:ascii="宋体" w:hAnsi="宋体" w:cs="宋体"/>
                <w:b/>
                <w:bCs/>
              </w:rPr>
              <w:t>其它类型</w:t>
            </w:r>
          </w:p>
        </w:tc>
        <w:tc>
          <w:tcPr>
            <w:tcW w:w="2084" w:type="dxa"/>
            <w:vAlign w:val="center"/>
          </w:tcPr>
          <w:p>
            <w:pPr>
              <w:jc w:val="center"/>
              <w:rPr>
                <w:rFonts w:hint="eastAsia" w:ascii="宋体" w:hAnsi="宋体" w:cs="宋体"/>
                <w:b/>
                <w:bCs/>
              </w:rPr>
            </w:pPr>
            <w:r>
              <w:rPr>
                <w:rFonts w:hint="eastAsia" w:ascii="宋体" w:hAnsi="宋体" w:cs="宋体"/>
                <w:b/>
                <w:bCs/>
              </w:rPr>
              <w:t>得分（分/千字）</w:t>
            </w:r>
          </w:p>
        </w:tc>
        <w:tc>
          <w:tcPr>
            <w:tcW w:w="1619" w:type="dxa"/>
            <w:vAlign w:val="center"/>
          </w:tcPr>
          <w:p>
            <w:pPr>
              <w:jc w:val="center"/>
              <w:rPr>
                <w:rFonts w:hint="eastAsia" w:ascii="宋体" w:hAnsi="宋体" w:cs="宋体"/>
                <w:b/>
                <w:bCs/>
              </w:rPr>
            </w:pPr>
            <w:r>
              <w:rPr>
                <w:rFonts w:hint="eastAsia" w:ascii="宋体" w:hAnsi="宋体" w:cs="宋体"/>
                <w:b/>
                <w:bCs/>
              </w:rPr>
              <w:t>单项限分</w:t>
            </w:r>
          </w:p>
          <w:p>
            <w:pPr>
              <w:jc w:val="center"/>
              <w:rPr>
                <w:rFonts w:hint="eastAsia" w:ascii="宋体" w:hAnsi="宋体" w:cs="宋体"/>
                <w:b/>
                <w:bCs/>
              </w:rPr>
            </w:pPr>
            <w:r>
              <w:rPr>
                <w:rFonts w:hint="eastAsia" w:ascii="宋体" w:hAnsi="宋体" w:cs="宋体"/>
                <w:b/>
                <w:bCs/>
              </w:rPr>
              <w:t xml:space="preserve">（分/千字）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hint="eastAsia" w:ascii="宋体" w:hAnsi="宋体" w:cs="宋体"/>
                <w:b/>
                <w:bCs/>
                <w:szCs w:val="21"/>
              </w:rPr>
              <w:t>个人专著</w:t>
            </w:r>
          </w:p>
        </w:tc>
        <w:tc>
          <w:tcPr>
            <w:tcW w:w="2084" w:type="dxa"/>
            <w:vAlign w:val="center"/>
          </w:tcPr>
          <w:p>
            <w:pPr>
              <w:jc w:val="center"/>
              <w:rPr>
                <w:rFonts w:hint="eastAsia" w:ascii="宋体" w:hAnsi="宋体" w:cs="宋体"/>
                <w:b/>
                <w:bCs/>
                <w:szCs w:val="21"/>
              </w:rPr>
            </w:pPr>
            <w:r>
              <w:rPr>
                <w:rFonts w:hint="eastAsia" w:ascii="宋体" w:hAnsi="宋体" w:cs="宋体"/>
                <w:b/>
                <w:bCs/>
                <w:szCs w:val="21"/>
              </w:rPr>
              <w:t>0.5</w:t>
            </w:r>
          </w:p>
        </w:tc>
        <w:tc>
          <w:tcPr>
            <w:tcW w:w="1619" w:type="dxa"/>
            <w:vAlign w:val="center"/>
          </w:tcPr>
          <w:p>
            <w:pPr>
              <w:jc w:val="center"/>
              <w:rPr>
                <w:rFonts w:hint="eastAsia" w:ascii="宋体" w:hAnsi="宋体" w:cs="宋体"/>
                <w:b/>
                <w:bCs/>
                <w:szCs w:val="21"/>
              </w:rPr>
            </w:pPr>
            <w:r>
              <w:rPr>
                <w:rFonts w:hint="eastAsia" w:ascii="宋体" w:hAnsi="宋体" w:cs="宋体"/>
                <w:b/>
                <w:bCs/>
                <w:szCs w:val="21"/>
              </w:rPr>
              <w:t>15.0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hint="eastAsia" w:ascii="宋体" w:hAnsi="宋体" w:cs="宋体"/>
                <w:b/>
                <w:bCs/>
                <w:szCs w:val="21"/>
              </w:rPr>
              <w:t>教育部统编教材</w:t>
            </w:r>
          </w:p>
        </w:tc>
        <w:tc>
          <w:tcPr>
            <w:tcW w:w="2084" w:type="dxa"/>
            <w:vAlign w:val="center"/>
          </w:tcPr>
          <w:p>
            <w:pPr>
              <w:jc w:val="center"/>
              <w:rPr>
                <w:rFonts w:hint="eastAsia" w:ascii="宋体" w:hAnsi="宋体" w:cs="宋体"/>
                <w:b/>
                <w:bCs/>
                <w:szCs w:val="21"/>
              </w:rPr>
            </w:pPr>
            <w:r>
              <w:rPr>
                <w:rFonts w:ascii="宋体" w:hAnsi="宋体" w:cs="宋体"/>
                <w:b/>
                <w:bCs/>
                <w:szCs w:val="21"/>
              </w:rPr>
              <w:t>0.</w:t>
            </w:r>
            <w:r>
              <w:rPr>
                <w:rFonts w:hint="eastAsia" w:ascii="宋体" w:hAnsi="宋体" w:cs="宋体"/>
                <w:b/>
                <w:bCs/>
                <w:szCs w:val="21"/>
              </w:rPr>
              <w:t>5</w:t>
            </w:r>
          </w:p>
        </w:tc>
        <w:tc>
          <w:tcPr>
            <w:tcW w:w="1619" w:type="dxa"/>
            <w:vAlign w:val="center"/>
          </w:tcPr>
          <w:p>
            <w:pPr>
              <w:jc w:val="center"/>
              <w:rPr>
                <w:rFonts w:ascii="宋体" w:hAnsi="宋体" w:cs="宋体"/>
                <w:b/>
                <w:bCs/>
                <w:szCs w:val="21"/>
              </w:rPr>
            </w:pPr>
            <w:r>
              <w:rPr>
                <w:rFonts w:hint="eastAsia" w:ascii="宋体" w:hAnsi="宋体" w:cs="宋体"/>
                <w:b/>
                <w:bCs/>
                <w:szCs w:val="21"/>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hint="eastAsia" w:ascii="宋体" w:hAnsi="宋体" w:cs="宋体"/>
                <w:b/>
                <w:bCs/>
                <w:szCs w:val="21"/>
              </w:rPr>
              <w:t>湖南省教委统编教材</w:t>
            </w:r>
          </w:p>
        </w:tc>
        <w:tc>
          <w:tcPr>
            <w:tcW w:w="2084" w:type="dxa"/>
            <w:vAlign w:val="center"/>
          </w:tcPr>
          <w:p>
            <w:pPr>
              <w:jc w:val="center"/>
              <w:rPr>
                <w:rFonts w:ascii="宋体" w:hAnsi="宋体" w:cs="宋体"/>
                <w:b/>
                <w:bCs/>
                <w:szCs w:val="21"/>
              </w:rPr>
            </w:pPr>
            <w:r>
              <w:rPr>
                <w:rFonts w:hint="eastAsia" w:ascii="宋体" w:hAnsi="宋体" w:cs="宋体"/>
                <w:b/>
                <w:bCs/>
                <w:szCs w:val="21"/>
              </w:rPr>
              <w:t>0.4</w:t>
            </w:r>
          </w:p>
        </w:tc>
        <w:tc>
          <w:tcPr>
            <w:tcW w:w="1619" w:type="dxa"/>
            <w:vAlign w:val="center"/>
          </w:tcPr>
          <w:p>
            <w:pPr>
              <w:jc w:val="center"/>
              <w:rPr>
                <w:rFonts w:ascii="宋体" w:hAnsi="宋体" w:cs="宋体"/>
                <w:b/>
                <w:bCs/>
                <w:szCs w:val="21"/>
              </w:rPr>
            </w:pPr>
            <w:r>
              <w:rPr>
                <w:rFonts w:hint="eastAsia" w:ascii="宋体" w:hAnsi="宋体" w:cs="宋体"/>
                <w:b/>
                <w:bCs/>
                <w:szCs w:val="21"/>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hint="eastAsia" w:ascii="宋体" w:hAnsi="宋体" w:cs="宋体"/>
                <w:b/>
                <w:bCs/>
                <w:szCs w:val="21"/>
              </w:rPr>
              <w:t>一般教材</w:t>
            </w:r>
          </w:p>
        </w:tc>
        <w:tc>
          <w:tcPr>
            <w:tcW w:w="2084" w:type="dxa"/>
            <w:vAlign w:val="center"/>
          </w:tcPr>
          <w:p>
            <w:pPr>
              <w:jc w:val="center"/>
              <w:rPr>
                <w:rFonts w:ascii="宋体" w:hAnsi="宋体" w:cs="宋体"/>
                <w:b/>
                <w:bCs/>
                <w:szCs w:val="21"/>
              </w:rPr>
            </w:pPr>
            <w:r>
              <w:rPr>
                <w:rFonts w:ascii="宋体" w:hAnsi="宋体" w:cs="宋体"/>
                <w:b/>
                <w:bCs/>
                <w:szCs w:val="21"/>
              </w:rPr>
              <w:t>0.2</w:t>
            </w:r>
          </w:p>
        </w:tc>
        <w:tc>
          <w:tcPr>
            <w:tcW w:w="1619" w:type="dxa"/>
            <w:vAlign w:val="center"/>
          </w:tcPr>
          <w:p>
            <w:pPr>
              <w:jc w:val="center"/>
              <w:rPr>
                <w:rFonts w:ascii="宋体" w:hAnsi="宋体" w:cs="宋体"/>
                <w:b/>
                <w:bCs/>
                <w:szCs w:val="21"/>
              </w:rPr>
            </w:pPr>
            <w:r>
              <w:rPr>
                <w:rFonts w:hint="eastAsia" w:ascii="宋体" w:hAnsi="宋体" w:cs="宋体"/>
                <w:b/>
                <w:bCs/>
                <w:szCs w:val="21"/>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hint="eastAsia" w:ascii="宋体" w:hAnsi="宋体" w:cs="宋体"/>
                <w:b/>
                <w:bCs/>
                <w:szCs w:val="21"/>
              </w:rPr>
              <w:t>译著</w:t>
            </w:r>
          </w:p>
        </w:tc>
        <w:tc>
          <w:tcPr>
            <w:tcW w:w="2084" w:type="dxa"/>
            <w:vAlign w:val="center"/>
          </w:tcPr>
          <w:p>
            <w:pPr>
              <w:jc w:val="center"/>
              <w:rPr>
                <w:rFonts w:hint="eastAsia" w:ascii="宋体" w:hAnsi="宋体" w:cs="宋体"/>
                <w:b/>
                <w:bCs/>
                <w:szCs w:val="21"/>
              </w:rPr>
            </w:pPr>
            <w:r>
              <w:rPr>
                <w:rFonts w:ascii="宋体" w:hAnsi="宋体" w:cs="宋体"/>
                <w:b/>
                <w:bCs/>
                <w:szCs w:val="21"/>
              </w:rPr>
              <w:t>0.</w:t>
            </w:r>
            <w:r>
              <w:rPr>
                <w:rFonts w:hint="eastAsia" w:ascii="宋体" w:hAnsi="宋体" w:cs="宋体"/>
                <w:b/>
                <w:bCs/>
                <w:szCs w:val="21"/>
              </w:rPr>
              <w:t>3</w:t>
            </w:r>
          </w:p>
        </w:tc>
        <w:tc>
          <w:tcPr>
            <w:tcW w:w="1619" w:type="dxa"/>
            <w:vAlign w:val="center"/>
          </w:tcPr>
          <w:p>
            <w:pPr>
              <w:jc w:val="center"/>
              <w:rPr>
                <w:rFonts w:ascii="宋体" w:hAnsi="宋体" w:cs="宋体"/>
                <w:b/>
                <w:bCs/>
                <w:szCs w:val="21"/>
              </w:rPr>
            </w:pPr>
            <w:r>
              <w:rPr>
                <w:rFonts w:hint="eastAsia" w:ascii="宋体" w:hAnsi="宋体" w:cs="宋体"/>
                <w:b/>
                <w:bCs/>
                <w:szCs w:val="21"/>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hint="eastAsia" w:ascii="宋体" w:hAnsi="宋体" w:cs="宋体"/>
                <w:b/>
                <w:bCs/>
                <w:szCs w:val="21"/>
              </w:rPr>
              <w:t>其他读物</w:t>
            </w:r>
          </w:p>
        </w:tc>
        <w:tc>
          <w:tcPr>
            <w:tcW w:w="2084" w:type="dxa"/>
            <w:vAlign w:val="center"/>
          </w:tcPr>
          <w:p>
            <w:pPr>
              <w:jc w:val="center"/>
              <w:rPr>
                <w:rFonts w:ascii="宋体" w:hAnsi="宋体" w:cs="宋体"/>
                <w:b/>
                <w:bCs/>
                <w:szCs w:val="21"/>
              </w:rPr>
            </w:pPr>
            <w:r>
              <w:rPr>
                <w:rFonts w:ascii="宋体" w:hAnsi="宋体" w:cs="宋体"/>
                <w:b/>
                <w:bCs/>
                <w:szCs w:val="21"/>
              </w:rPr>
              <w:t>0.</w:t>
            </w:r>
            <w:r>
              <w:rPr>
                <w:rFonts w:hint="eastAsia" w:ascii="宋体" w:hAnsi="宋体" w:cs="宋体"/>
                <w:b/>
                <w:bCs/>
                <w:szCs w:val="21"/>
              </w:rPr>
              <w:t>2</w:t>
            </w:r>
          </w:p>
        </w:tc>
        <w:tc>
          <w:tcPr>
            <w:tcW w:w="1619" w:type="dxa"/>
            <w:vAlign w:val="center"/>
          </w:tcPr>
          <w:p>
            <w:pPr>
              <w:jc w:val="center"/>
              <w:rPr>
                <w:rFonts w:ascii="宋体" w:hAnsi="宋体" w:cs="宋体"/>
                <w:b/>
                <w:bCs/>
                <w:szCs w:val="21"/>
              </w:rPr>
            </w:pPr>
            <w:r>
              <w:rPr>
                <w:rFonts w:hint="eastAsia" w:ascii="宋体" w:hAnsi="宋体" w:cs="宋体"/>
                <w:b/>
                <w:bCs/>
                <w:szCs w:val="21"/>
              </w:rPr>
              <w:t>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tblCellSpacing w:w="0" w:type="dxa"/>
        </w:trPr>
        <w:tc>
          <w:tcPr>
            <w:tcW w:w="2520" w:type="dxa"/>
            <w:vAlign w:val="center"/>
          </w:tcPr>
          <w:p>
            <w:pPr>
              <w:jc w:val="center"/>
              <w:rPr>
                <w:rFonts w:ascii="宋体" w:hAnsi="宋体" w:cs="宋体"/>
                <w:b/>
                <w:bCs/>
                <w:szCs w:val="21"/>
              </w:rPr>
            </w:pPr>
            <w:r>
              <w:rPr>
                <w:rFonts w:ascii="宋体" w:hAnsi="宋体" w:cs="宋体"/>
                <w:b/>
                <w:bCs/>
                <w:szCs w:val="21"/>
              </w:rPr>
              <w:t>重要报刊</w:t>
            </w:r>
          </w:p>
        </w:tc>
        <w:tc>
          <w:tcPr>
            <w:tcW w:w="2084" w:type="dxa"/>
            <w:vAlign w:val="center"/>
          </w:tcPr>
          <w:p>
            <w:pPr>
              <w:jc w:val="center"/>
              <w:rPr>
                <w:rFonts w:hint="eastAsia" w:ascii="宋体" w:hAnsi="宋体" w:cs="宋体"/>
                <w:b/>
                <w:bCs/>
                <w:szCs w:val="21"/>
              </w:rPr>
            </w:pPr>
            <w:r>
              <w:rPr>
                <w:rFonts w:ascii="宋体" w:hAnsi="宋体" w:cs="宋体"/>
                <w:b/>
                <w:bCs/>
                <w:szCs w:val="21"/>
              </w:rPr>
              <w:t>0.</w:t>
            </w:r>
            <w:r>
              <w:rPr>
                <w:rFonts w:hint="eastAsia" w:ascii="宋体" w:hAnsi="宋体" w:cs="宋体"/>
                <w:b/>
                <w:bCs/>
                <w:szCs w:val="21"/>
              </w:rPr>
              <w:t>5</w:t>
            </w:r>
          </w:p>
        </w:tc>
        <w:tc>
          <w:tcPr>
            <w:tcW w:w="1619" w:type="dxa"/>
            <w:vAlign w:val="center"/>
          </w:tcPr>
          <w:p>
            <w:pPr>
              <w:jc w:val="center"/>
              <w:rPr>
                <w:rFonts w:hint="eastAsia" w:ascii="宋体" w:hAnsi="宋体" w:cs="宋体"/>
                <w:b/>
                <w:bCs/>
                <w:szCs w:val="21"/>
              </w:rPr>
            </w:pPr>
            <w:r>
              <w:rPr>
                <w:rFonts w:hint="eastAsia" w:ascii="宋体" w:hAnsi="宋体" w:cs="宋体"/>
                <w:b/>
                <w:bCs/>
                <w:szCs w:val="21"/>
              </w:rPr>
              <w:t>5.0</w:t>
            </w:r>
          </w:p>
        </w:tc>
      </w:tr>
    </w:tbl>
    <w:p>
      <w:pPr>
        <w:spacing w:line="500" w:lineRule="exact"/>
        <w:ind w:firstLine="480" w:firstLineChars="200"/>
        <w:rPr>
          <w:rFonts w:hint="eastAsia" w:ascii="仿宋_GB2312" w:hAnsi="黑体" w:eastAsia="仿宋_GB2312" w:cs="宋体"/>
          <w:sz w:val="24"/>
        </w:rPr>
      </w:pPr>
      <w:r>
        <w:rPr>
          <w:rFonts w:ascii="仿宋_GB2312" w:hAnsi="黑体" w:eastAsia="仿宋_GB2312" w:cs="宋体"/>
          <w:sz w:val="24"/>
        </w:rPr>
        <w:t>注：</w:t>
      </w:r>
      <w:r>
        <w:rPr>
          <w:rFonts w:hint="eastAsia" w:ascii="仿宋_GB2312" w:hAnsi="黑体" w:eastAsia="仿宋_GB2312" w:cs="宋体"/>
          <w:sz w:val="24"/>
        </w:rPr>
        <w:t>1、</w:t>
      </w:r>
      <w:r>
        <w:rPr>
          <w:rFonts w:ascii="仿宋_GB2312" w:hAnsi="黑体" w:eastAsia="仿宋_GB2312" w:cs="宋体"/>
          <w:sz w:val="24"/>
        </w:rPr>
        <w:t>重要报刊</w:t>
      </w:r>
      <w:r>
        <w:rPr>
          <w:rFonts w:hint="eastAsia" w:ascii="仿宋_GB2312" w:hAnsi="黑体" w:eastAsia="仿宋_GB2312" w:cs="宋体"/>
          <w:sz w:val="24"/>
        </w:rPr>
        <w:t>标准参照我校宣传部相关标准，由各院（室、所）根据专业要求自行规定，撰写著作、文章项目只限报2项最具代表性作品。</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5、发明专利</w:t>
      </w:r>
      <w:r>
        <w:rPr>
          <w:rFonts w:ascii="仿宋_GB2312" w:hAnsi="黑体" w:eastAsia="仿宋_GB2312" w:cs="宋体"/>
          <w:sz w:val="32"/>
          <w:szCs w:val="32"/>
        </w:rPr>
        <w:t>（</w:t>
      </w:r>
      <w:r>
        <w:rPr>
          <w:rFonts w:hint="eastAsia" w:ascii="仿宋_GB2312" w:hAnsi="黑体" w:eastAsia="仿宋_GB2312" w:cs="宋体"/>
          <w:sz w:val="32"/>
          <w:szCs w:val="32"/>
        </w:rPr>
        <w:t>B5</w:t>
      </w:r>
      <w:r>
        <w:rPr>
          <w:rFonts w:ascii="仿宋_GB2312" w:hAnsi="黑体" w:eastAsia="仿宋_GB2312" w:cs="宋体"/>
          <w:sz w:val="32"/>
          <w:szCs w:val="32"/>
        </w:rPr>
        <w:t>）</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（1）国家发明专利 </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以吉首大学为第一授权单位获得国家发明专利权的，加分总值为20分。排名第1、第2、第3名的加分权重分别为75%、50%和25%，第4名及以后的成员加分权重为10%。限报1项代表性的专利。 </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（2）外观设计、实用新型专利及软件著作权 </w:t>
      </w:r>
    </w:p>
    <w:p>
      <w:pPr>
        <w:widowControl/>
        <w:tabs>
          <w:tab w:val="left" w:pos="360"/>
        </w:tabs>
        <w:spacing w:line="580" w:lineRule="exact"/>
        <w:ind w:firstLine="640" w:firstLineChars="200"/>
        <w:rPr>
          <w:rFonts w:hint="eastAsia" w:ascii="仿宋_GB2312" w:hAnsi="ˎ̥" w:eastAsia="仿宋_GB2312" w:cs="宋体"/>
          <w:kern w:val="0"/>
          <w:sz w:val="32"/>
          <w:szCs w:val="32"/>
        </w:rPr>
      </w:pPr>
      <w:r>
        <w:rPr>
          <w:rFonts w:hint="eastAsia" w:ascii="仿宋_GB2312" w:hAnsi="ˎ̥" w:eastAsia="仿宋_GB2312" w:cs="宋体"/>
          <w:kern w:val="0"/>
          <w:sz w:val="32"/>
          <w:szCs w:val="32"/>
        </w:rPr>
        <w:t>以吉首大学为第一授权单位获得外观设计、实用新型专利及软件著作权的，加分总值为16分。排名第1、第2、第3名的加分权重分别为75%、50%和25%，第4名及以后的成员加分权重为10%。限报1项代表性的专利。</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三、社会活动C</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社会活动分由活动竞赛分、活动表彰奖励分、研究生干部分3项分值累加，社会活动总分不超过10分。</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计算公式为：C</w:t>
      </w:r>
      <w:r>
        <w:rPr>
          <w:rFonts w:ascii="仿宋_GB2312" w:hAnsi="黑体" w:eastAsia="仿宋_GB2312" w:cs="宋体"/>
          <w:sz w:val="32"/>
          <w:szCs w:val="32"/>
        </w:rPr>
        <w:t>＝</w:t>
      </w:r>
      <w:r>
        <w:rPr>
          <w:rFonts w:hint="eastAsia" w:ascii="仿宋_GB2312" w:hAnsi="黑体" w:eastAsia="仿宋_GB2312" w:cs="宋体"/>
          <w:sz w:val="32"/>
          <w:szCs w:val="32"/>
        </w:rPr>
        <w:t>C1</w:t>
      </w:r>
      <w:r>
        <w:rPr>
          <w:rFonts w:ascii="仿宋_GB2312" w:hAnsi="黑体" w:eastAsia="仿宋_GB2312" w:cs="宋体"/>
          <w:sz w:val="32"/>
          <w:szCs w:val="32"/>
        </w:rPr>
        <w:t>＋</w:t>
      </w:r>
      <w:r>
        <w:rPr>
          <w:rFonts w:hint="eastAsia" w:ascii="仿宋_GB2312" w:hAnsi="黑体" w:eastAsia="仿宋_GB2312" w:cs="宋体"/>
          <w:sz w:val="32"/>
          <w:szCs w:val="32"/>
        </w:rPr>
        <w:t>C2</w:t>
      </w:r>
      <w:r>
        <w:rPr>
          <w:rFonts w:ascii="仿宋_GB2312" w:hAnsi="黑体" w:eastAsia="仿宋_GB2312" w:cs="宋体"/>
          <w:sz w:val="32"/>
          <w:szCs w:val="32"/>
        </w:rPr>
        <w:t>＋</w:t>
      </w:r>
      <w:r>
        <w:rPr>
          <w:rFonts w:hint="eastAsia" w:ascii="仿宋_GB2312" w:hAnsi="黑体" w:eastAsia="仿宋_GB2312" w:cs="宋体"/>
          <w:sz w:val="32"/>
          <w:szCs w:val="32"/>
        </w:rPr>
        <w:t>C3</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1、活动竞赛(C1)</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社会活动竞赛奖励分值</w:t>
      </w:r>
    </w:p>
    <w:tbl>
      <w:tblPr>
        <w:tblStyle w:val="13"/>
        <w:tblW w:w="7120" w:type="dxa"/>
        <w:jc w:val="center"/>
        <w:tblCellSpacing w:w="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764"/>
        <w:gridCol w:w="1880"/>
        <w:gridCol w:w="1738"/>
        <w:gridCol w:w="173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9" w:hRule="atLeast"/>
          <w:tblCellSpacing w:w="0" w:type="dxa"/>
          <w:jc w:val="center"/>
        </w:trPr>
        <w:tc>
          <w:tcPr>
            <w:tcW w:w="1764" w:type="dxa"/>
            <w:vAlign w:val="center"/>
          </w:tcPr>
          <w:p>
            <w:pPr>
              <w:shd w:val="clear" w:color="auto" w:fill="FFFFFF"/>
              <w:spacing w:line="400" w:lineRule="exact"/>
              <w:jc w:val="center"/>
              <w:rPr>
                <w:rFonts w:hint="eastAsia" w:ascii="宋体" w:hAnsi="宋体" w:cs="宋体"/>
                <w:szCs w:val="21"/>
              </w:rPr>
            </w:pPr>
            <w:r>
              <w:rPr>
                <w:rFonts w:hint="eastAsia" w:ascii="宋体" w:hAnsi="宋体" w:cs="宋体"/>
                <w:szCs w:val="21"/>
              </w:rPr>
              <w:t>奖励级别</w:t>
            </w:r>
          </w:p>
        </w:tc>
        <w:tc>
          <w:tcPr>
            <w:tcW w:w="1880" w:type="dxa"/>
            <w:vAlign w:val="center"/>
          </w:tcPr>
          <w:p>
            <w:pPr>
              <w:shd w:val="clear" w:color="auto" w:fill="FFFFFF"/>
              <w:spacing w:line="400" w:lineRule="exact"/>
              <w:jc w:val="center"/>
              <w:rPr>
                <w:rFonts w:hint="eastAsia" w:ascii="宋体" w:hAnsi="宋体" w:cs="宋体"/>
                <w:szCs w:val="21"/>
              </w:rPr>
            </w:pPr>
            <w:r>
              <w:rPr>
                <w:rFonts w:hint="eastAsia" w:ascii="宋体" w:hAnsi="宋体" w:cs="宋体"/>
                <w:szCs w:val="21"/>
              </w:rPr>
              <w:t>国家级</w:t>
            </w:r>
          </w:p>
        </w:tc>
        <w:tc>
          <w:tcPr>
            <w:tcW w:w="1738" w:type="dxa"/>
            <w:vAlign w:val="center"/>
          </w:tcPr>
          <w:p>
            <w:pPr>
              <w:shd w:val="clear" w:color="auto" w:fill="FFFFFF"/>
              <w:spacing w:line="400" w:lineRule="exact"/>
              <w:jc w:val="center"/>
              <w:rPr>
                <w:rFonts w:hint="eastAsia" w:ascii="宋体" w:hAnsi="宋体" w:cs="宋体"/>
                <w:szCs w:val="21"/>
              </w:rPr>
            </w:pPr>
            <w:r>
              <w:rPr>
                <w:rFonts w:hint="eastAsia" w:ascii="宋体" w:hAnsi="宋体" w:cs="宋体"/>
                <w:szCs w:val="21"/>
              </w:rPr>
              <w:t>省、部级</w:t>
            </w:r>
          </w:p>
        </w:tc>
        <w:tc>
          <w:tcPr>
            <w:tcW w:w="1738" w:type="dxa"/>
            <w:vAlign w:val="center"/>
          </w:tcPr>
          <w:p>
            <w:pPr>
              <w:shd w:val="clear" w:color="auto" w:fill="FFFFFF"/>
              <w:spacing w:line="400" w:lineRule="exact"/>
              <w:jc w:val="center"/>
              <w:rPr>
                <w:rFonts w:hint="eastAsia" w:ascii="宋体" w:hAnsi="宋体" w:cs="宋体"/>
                <w:szCs w:val="21"/>
              </w:rPr>
            </w:pPr>
            <w:r>
              <w:rPr>
                <w:rFonts w:hint="eastAsia" w:ascii="宋体" w:hAnsi="宋体" w:cs="宋体"/>
                <w:szCs w:val="21"/>
              </w:rPr>
              <w:t>州、校级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1" w:hRule="atLeast"/>
          <w:tblCellSpacing w:w="0" w:type="dxa"/>
          <w:jc w:val="center"/>
        </w:trPr>
        <w:tc>
          <w:tcPr>
            <w:tcW w:w="1764" w:type="dxa"/>
            <w:vAlign w:val="center"/>
          </w:tcPr>
          <w:p>
            <w:pPr>
              <w:shd w:val="clear" w:color="auto" w:fill="FFFFFF"/>
              <w:spacing w:line="320" w:lineRule="exact"/>
              <w:jc w:val="center"/>
              <w:rPr>
                <w:rFonts w:ascii="宋体" w:hAnsi="宋体" w:cs="宋体"/>
                <w:szCs w:val="21"/>
              </w:rPr>
            </w:pPr>
            <w:r>
              <w:rPr>
                <w:rFonts w:hint="eastAsia" w:ascii="宋体" w:hAnsi="宋体" w:cs="宋体"/>
                <w:szCs w:val="21"/>
              </w:rPr>
              <w:t>一等或特等</w:t>
            </w:r>
          </w:p>
        </w:tc>
        <w:tc>
          <w:tcPr>
            <w:tcW w:w="1880"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5</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4</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blCellSpacing w:w="0" w:type="dxa"/>
          <w:jc w:val="center"/>
        </w:trPr>
        <w:tc>
          <w:tcPr>
            <w:tcW w:w="1764" w:type="dxa"/>
            <w:vAlign w:val="center"/>
          </w:tcPr>
          <w:p>
            <w:pPr>
              <w:shd w:val="clear" w:color="auto" w:fill="FFFFFF"/>
              <w:spacing w:line="320" w:lineRule="exact"/>
              <w:jc w:val="center"/>
              <w:rPr>
                <w:rFonts w:ascii="宋体" w:hAnsi="宋体" w:cs="宋体"/>
                <w:szCs w:val="21"/>
              </w:rPr>
            </w:pPr>
            <w:r>
              <w:rPr>
                <w:rFonts w:hint="eastAsia" w:ascii="宋体" w:hAnsi="宋体" w:cs="宋体"/>
                <w:szCs w:val="21"/>
              </w:rPr>
              <w:t>二等</w:t>
            </w:r>
          </w:p>
        </w:tc>
        <w:tc>
          <w:tcPr>
            <w:tcW w:w="1880"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4</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3</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blCellSpacing w:w="0" w:type="dxa"/>
          <w:jc w:val="center"/>
        </w:trPr>
        <w:tc>
          <w:tcPr>
            <w:tcW w:w="1764" w:type="dxa"/>
            <w:vAlign w:val="center"/>
          </w:tcPr>
          <w:p>
            <w:pPr>
              <w:shd w:val="clear" w:color="auto" w:fill="FFFFFF"/>
              <w:spacing w:line="320" w:lineRule="exact"/>
              <w:jc w:val="center"/>
              <w:rPr>
                <w:rFonts w:ascii="宋体" w:hAnsi="宋体" w:cs="宋体"/>
                <w:szCs w:val="21"/>
              </w:rPr>
            </w:pPr>
            <w:r>
              <w:rPr>
                <w:rFonts w:hint="eastAsia" w:ascii="宋体" w:hAnsi="宋体" w:cs="宋体"/>
                <w:szCs w:val="21"/>
              </w:rPr>
              <w:t>三等</w:t>
            </w:r>
          </w:p>
        </w:tc>
        <w:tc>
          <w:tcPr>
            <w:tcW w:w="1880"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3</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2</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blCellSpacing w:w="0" w:type="dxa"/>
          <w:jc w:val="center"/>
        </w:trPr>
        <w:tc>
          <w:tcPr>
            <w:tcW w:w="1764" w:type="dxa"/>
            <w:vAlign w:val="center"/>
          </w:tcPr>
          <w:p>
            <w:pPr>
              <w:shd w:val="clear" w:color="auto" w:fill="FFFFFF"/>
              <w:spacing w:line="320" w:lineRule="exact"/>
              <w:jc w:val="center"/>
              <w:rPr>
                <w:rFonts w:ascii="宋体" w:hAnsi="宋体" w:cs="宋体"/>
                <w:szCs w:val="21"/>
              </w:rPr>
            </w:pPr>
            <w:r>
              <w:rPr>
                <w:rFonts w:hint="eastAsia" w:ascii="宋体" w:hAnsi="宋体" w:cs="宋体"/>
                <w:szCs w:val="21"/>
              </w:rPr>
              <w:t>四等或优秀</w:t>
            </w:r>
          </w:p>
        </w:tc>
        <w:tc>
          <w:tcPr>
            <w:tcW w:w="1880"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2</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1.5</w:t>
            </w:r>
          </w:p>
        </w:tc>
        <w:tc>
          <w:tcPr>
            <w:tcW w:w="1738" w:type="dxa"/>
            <w:vAlign w:val="center"/>
          </w:tcPr>
          <w:p>
            <w:pPr>
              <w:shd w:val="clear" w:color="auto" w:fill="FFFFFF"/>
              <w:spacing w:line="320" w:lineRule="exact"/>
              <w:jc w:val="center"/>
              <w:rPr>
                <w:rFonts w:hint="eastAsia" w:ascii="宋体" w:hAnsi="宋体" w:cs="宋体"/>
                <w:szCs w:val="21"/>
              </w:rPr>
            </w:pPr>
            <w:r>
              <w:rPr>
                <w:rFonts w:hint="eastAsia" w:ascii="宋体" w:hAnsi="宋体" w:cs="宋体"/>
                <w:szCs w:val="21"/>
              </w:rPr>
              <w:t>0.5</w:t>
            </w:r>
          </w:p>
        </w:tc>
      </w:tr>
    </w:tbl>
    <w:p>
      <w:pPr>
        <w:spacing w:line="50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2、活动表彰奖励（C2）</w:t>
      </w:r>
    </w:p>
    <w:p>
      <w:pPr>
        <w:shd w:val="clear" w:color="auto" w:fill="FFFFFF"/>
        <w:snapToGrid w:val="0"/>
        <w:spacing w:line="500" w:lineRule="exact"/>
        <w:jc w:val="center"/>
        <w:rPr>
          <w:rFonts w:hint="eastAsia" w:ascii="仿宋_GB2312" w:hAnsi="黑体" w:eastAsia="仿宋_GB2312" w:cs="宋体"/>
          <w:sz w:val="32"/>
          <w:szCs w:val="32"/>
        </w:rPr>
      </w:pPr>
      <w:r>
        <w:rPr>
          <w:rFonts w:hint="eastAsia" w:ascii="仿宋_GB2312" w:hAnsi="黑体" w:eastAsia="仿宋_GB2312" w:cs="宋体"/>
          <w:sz w:val="32"/>
          <w:szCs w:val="32"/>
        </w:rPr>
        <w:t>社会活动表彰奖励分值</w:t>
      </w:r>
    </w:p>
    <w:tbl>
      <w:tblPr>
        <w:tblStyle w:val="13"/>
        <w:tblW w:w="8421" w:type="dxa"/>
        <w:tblCellSpacing w:w="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05"/>
        <w:gridCol w:w="2105"/>
        <w:gridCol w:w="2106"/>
        <w:gridCol w:w="210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9" w:hRule="atLeast"/>
          <w:tblCellSpacing w:w="0" w:type="dxa"/>
        </w:trPr>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奖励类别</w:t>
            </w:r>
          </w:p>
        </w:tc>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国家级</w:t>
            </w:r>
          </w:p>
        </w:tc>
        <w:tc>
          <w:tcPr>
            <w:tcW w:w="2106"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省、部级</w:t>
            </w:r>
          </w:p>
        </w:tc>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州、校级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3" w:hRule="atLeast"/>
          <w:tblCellSpacing w:w="0" w:type="dxa"/>
        </w:trPr>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优秀集体</w:t>
            </w:r>
          </w:p>
        </w:tc>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6</w:t>
            </w:r>
          </w:p>
        </w:tc>
        <w:tc>
          <w:tcPr>
            <w:tcW w:w="2106"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4</w:t>
            </w:r>
          </w:p>
        </w:tc>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3" w:hRule="atLeast"/>
          <w:tblCellSpacing w:w="0" w:type="dxa"/>
        </w:trPr>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优秀个人</w:t>
            </w:r>
          </w:p>
        </w:tc>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3</w:t>
            </w:r>
          </w:p>
        </w:tc>
        <w:tc>
          <w:tcPr>
            <w:tcW w:w="2106"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2</w:t>
            </w:r>
          </w:p>
        </w:tc>
        <w:tc>
          <w:tcPr>
            <w:tcW w:w="2105" w:type="dxa"/>
            <w:tcBorders>
              <w:top w:val="single" w:color="000000" w:sz="6" w:space="0"/>
              <w:left w:val="single" w:color="000000" w:sz="6" w:space="0"/>
              <w:bottom w:val="single" w:color="000000" w:sz="6" w:space="0"/>
              <w:right w:val="single" w:color="000000" w:sz="6" w:space="0"/>
            </w:tcBorders>
            <w:vAlign w:val="center"/>
          </w:tcPr>
          <w:p>
            <w:pPr>
              <w:shd w:val="clear" w:color="auto" w:fill="FFFFFF"/>
              <w:spacing w:line="58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1</w:t>
            </w:r>
          </w:p>
        </w:tc>
      </w:tr>
    </w:tbl>
    <w:p>
      <w:pPr>
        <w:spacing w:line="500" w:lineRule="exact"/>
        <w:ind w:firstLine="420" w:firstLineChars="200"/>
        <w:rPr>
          <w:rFonts w:ascii="仿宋_GB2312" w:hAnsi="黑体" w:eastAsia="仿宋_GB2312" w:cs="宋体"/>
          <w:sz w:val="24"/>
        </w:rPr>
      </w:pPr>
      <w:r>
        <w:rPr>
          <w:rFonts w:hint="eastAsia" w:ascii="宋体" w:hAnsi="宋体" w:cs="宋体"/>
        </w:rPr>
        <w:t xml:space="preserve"> </w:t>
      </w:r>
      <w:r>
        <w:rPr>
          <w:rFonts w:hint="eastAsia" w:ascii="仿宋_GB2312" w:hAnsi="黑体" w:eastAsia="仿宋_GB2312" w:cs="宋体"/>
          <w:sz w:val="24"/>
        </w:rPr>
        <w:t xml:space="preserve"> 注：所有奖项必须出具相关获奖证书或相关证明材料。所获奖项为个人奖时,加分分值为相应获奖等级的最高加分分值。所获奖项为团体奖时，团体内成员共同分配最高加分分值，排名第1、第2、第3名的加分权重分别为75%、50%和25%，第4名及以后的成员加分权重为10%。所获奖项为团体奖，但排名不分先后的，所有获奖成员平均分配最高加分分值。同一项目重复获奖的，按最高类别计算。</w:t>
      </w:r>
    </w:p>
    <w:p>
      <w:pPr>
        <w:tabs>
          <w:tab w:val="left" w:pos="360"/>
        </w:tabs>
        <w:spacing w:line="400" w:lineRule="exact"/>
        <w:ind w:left="105" w:leftChars="50" w:firstLine="480" w:firstLineChars="150"/>
        <w:rPr>
          <w:rFonts w:hint="eastAsia" w:ascii="仿宋_GB2312" w:hAnsi="黑体" w:eastAsia="仿宋_GB2312" w:cs="宋体"/>
          <w:sz w:val="32"/>
          <w:szCs w:val="32"/>
        </w:rPr>
      </w:pPr>
      <w:r>
        <w:rPr>
          <w:rFonts w:hint="eastAsia" w:ascii="仿宋_GB2312" w:hAnsi="黑体" w:eastAsia="仿宋_GB2312" w:cs="宋体"/>
          <w:sz w:val="32"/>
          <w:szCs w:val="32"/>
        </w:rPr>
        <w:t>3、C3为研究生干部</w:t>
      </w:r>
    </w:p>
    <w:tbl>
      <w:tblPr>
        <w:tblStyle w:val="1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484"/>
        <w:gridCol w:w="1936"/>
        <w:gridCol w:w="19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trPr>
        <w:tc>
          <w:tcPr>
            <w:tcW w:w="1908"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干部职务</w:t>
            </w:r>
          </w:p>
        </w:tc>
        <w:tc>
          <w:tcPr>
            <w:tcW w:w="1484"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校研究生会主席</w:t>
            </w:r>
          </w:p>
        </w:tc>
        <w:tc>
          <w:tcPr>
            <w:tcW w:w="1936"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校研究生会副主席、学院研究生会主席</w:t>
            </w:r>
          </w:p>
        </w:tc>
        <w:tc>
          <w:tcPr>
            <w:tcW w:w="1980"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校研究生会部长、学院研究生会副主席</w:t>
            </w:r>
          </w:p>
        </w:tc>
        <w:tc>
          <w:tcPr>
            <w:tcW w:w="1620"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其他研究生干部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908"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最高加分分值</w:t>
            </w:r>
          </w:p>
        </w:tc>
        <w:tc>
          <w:tcPr>
            <w:tcW w:w="1484"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3</w:t>
            </w:r>
          </w:p>
        </w:tc>
        <w:tc>
          <w:tcPr>
            <w:tcW w:w="1936"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2.5</w:t>
            </w:r>
          </w:p>
        </w:tc>
        <w:tc>
          <w:tcPr>
            <w:tcW w:w="1980"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2</w:t>
            </w:r>
          </w:p>
        </w:tc>
        <w:tc>
          <w:tcPr>
            <w:tcW w:w="1620"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08"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党务职务</w:t>
            </w:r>
          </w:p>
        </w:tc>
        <w:tc>
          <w:tcPr>
            <w:tcW w:w="1484"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党支部书记、副书记</w:t>
            </w:r>
          </w:p>
        </w:tc>
        <w:tc>
          <w:tcPr>
            <w:tcW w:w="1936"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支部委员</w:t>
            </w:r>
          </w:p>
        </w:tc>
        <w:tc>
          <w:tcPr>
            <w:tcW w:w="1980" w:type="dxa"/>
            <w:vAlign w:val="top"/>
          </w:tcPr>
          <w:p>
            <w:pPr>
              <w:tabs>
                <w:tab w:val="left" w:pos="360"/>
              </w:tabs>
              <w:spacing w:line="400" w:lineRule="exact"/>
              <w:jc w:val="center"/>
              <w:rPr>
                <w:rFonts w:hint="eastAsia" w:ascii="仿宋_GB2312" w:hAnsi="宋体" w:eastAsia="仿宋_GB2312" w:cs="宋体"/>
                <w:sz w:val="28"/>
                <w:szCs w:val="28"/>
              </w:rPr>
            </w:pPr>
          </w:p>
        </w:tc>
        <w:tc>
          <w:tcPr>
            <w:tcW w:w="1620" w:type="dxa"/>
            <w:vAlign w:val="top"/>
          </w:tcPr>
          <w:p>
            <w:pPr>
              <w:tabs>
                <w:tab w:val="left" w:pos="360"/>
              </w:tabs>
              <w:spacing w:line="400" w:lineRule="exact"/>
              <w:jc w:val="center"/>
              <w:rPr>
                <w:rFonts w:hint="eastAsia" w:ascii="仿宋_GB2312" w:hAnsi="宋体" w:eastAsia="仿宋_GB2312"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908" w:type="dxa"/>
            <w:vAlign w:val="top"/>
          </w:tcPr>
          <w:p>
            <w:pPr>
              <w:tabs>
                <w:tab w:val="left" w:pos="360"/>
              </w:tabs>
              <w:spacing w:line="400" w:lineRule="exact"/>
              <w:rPr>
                <w:rFonts w:hint="eastAsia" w:ascii="仿宋_GB2312" w:hAnsi="宋体" w:eastAsia="仿宋_GB2312" w:cs="宋体"/>
                <w:sz w:val="28"/>
                <w:szCs w:val="28"/>
              </w:rPr>
            </w:pPr>
            <w:r>
              <w:rPr>
                <w:rFonts w:hint="eastAsia" w:ascii="仿宋_GB2312" w:hAnsi="宋体" w:eastAsia="仿宋_GB2312" w:cs="宋体"/>
                <w:sz w:val="28"/>
                <w:szCs w:val="28"/>
              </w:rPr>
              <w:t>最高加分分值</w:t>
            </w:r>
          </w:p>
        </w:tc>
        <w:tc>
          <w:tcPr>
            <w:tcW w:w="1484"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2.5</w:t>
            </w:r>
          </w:p>
        </w:tc>
        <w:tc>
          <w:tcPr>
            <w:tcW w:w="1936" w:type="dxa"/>
            <w:vAlign w:val="top"/>
          </w:tcPr>
          <w:p>
            <w:pPr>
              <w:tabs>
                <w:tab w:val="left" w:pos="360"/>
              </w:tabs>
              <w:spacing w:line="400" w:lineRule="exact"/>
              <w:jc w:val="center"/>
              <w:rPr>
                <w:rFonts w:hint="eastAsia" w:ascii="仿宋_GB2312" w:hAnsi="宋体" w:eastAsia="仿宋_GB2312" w:cs="宋体"/>
                <w:sz w:val="28"/>
                <w:szCs w:val="28"/>
              </w:rPr>
            </w:pPr>
            <w:r>
              <w:rPr>
                <w:rFonts w:hint="eastAsia" w:ascii="仿宋_GB2312" w:hAnsi="宋体" w:eastAsia="仿宋_GB2312" w:cs="宋体"/>
                <w:sz w:val="28"/>
                <w:szCs w:val="28"/>
              </w:rPr>
              <w:t>1.5</w:t>
            </w:r>
          </w:p>
        </w:tc>
        <w:tc>
          <w:tcPr>
            <w:tcW w:w="1980" w:type="dxa"/>
            <w:vAlign w:val="top"/>
          </w:tcPr>
          <w:p>
            <w:pPr>
              <w:tabs>
                <w:tab w:val="left" w:pos="360"/>
              </w:tabs>
              <w:spacing w:line="400" w:lineRule="exact"/>
              <w:jc w:val="center"/>
              <w:rPr>
                <w:rFonts w:hint="eastAsia" w:ascii="仿宋_GB2312" w:hAnsi="宋体" w:eastAsia="仿宋_GB2312" w:cs="宋体"/>
                <w:sz w:val="28"/>
                <w:szCs w:val="28"/>
              </w:rPr>
            </w:pPr>
          </w:p>
        </w:tc>
        <w:tc>
          <w:tcPr>
            <w:tcW w:w="1620" w:type="dxa"/>
            <w:vAlign w:val="top"/>
          </w:tcPr>
          <w:p>
            <w:pPr>
              <w:tabs>
                <w:tab w:val="left" w:pos="360"/>
              </w:tabs>
              <w:spacing w:line="400" w:lineRule="exact"/>
              <w:jc w:val="center"/>
              <w:rPr>
                <w:rFonts w:hint="eastAsia" w:ascii="仿宋_GB2312" w:hAnsi="宋体" w:eastAsia="仿宋_GB2312" w:cs="宋体"/>
                <w:sz w:val="28"/>
                <w:szCs w:val="28"/>
              </w:rPr>
            </w:pPr>
          </w:p>
        </w:tc>
      </w:tr>
    </w:tbl>
    <w:p>
      <w:pPr>
        <w:tabs>
          <w:tab w:val="left" w:pos="360"/>
        </w:tabs>
        <w:spacing w:line="500" w:lineRule="exact"/>
        <w:ind w:firstLine="480" w:firstLineChars="200"/>
        <w:rPr>
          <w:rFonts w:hint="eastAsia" w:ascii="仿宋_GB2312" w:hAnsi="黑体" w:eastAsia="仿宋_GB2312" w:cs="宋体"/>
          <w:sz w:val="24"/>
        </w:rPr>
      </w:pPr>
      <w:r>
        <w:rPr>
          <w:rFonts w:hint="eastAsia" w:ascii="仿宋_GB2312" w:hAnsi="黑体" w:eastAsia="仿宋_GB2312" w:cs="宋体"/>
          <w:sz w:val="24"/>
        </w:rPr>
        <w:t>注：研究生干部加分由主管部门考核加分，加分分值=职位最高加分分值*考核百分比（≤1）。党支部负责人参考学院党委办公室出具的考核情况表，加分分值=职位最高加分分值*考核百分比（党总支或党委出具证明）。</w:t>
      </w:r>
    </w:p>
    <w:p>
      <w:pPr>
        <w:tabs>
          <w:tab w:val="left" w:pos="360"/>
        </w:tabs>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四、思想政治及综合表现（D）</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1、评审</w:t>
      </w:r>
      <w:r>
        <w:rPr>
          <w:rFonts w:ascii="仿宋_GB2312" w:hAnsi="黑体" w:eastAsia="仿宋_GB2312" w:cs="宋体"/>
          <w:sz w:val="32"/>
          <w:szCs w:val="32"/>
        </w:rPr>
        <w:t>内容包括</w:t>
      </w:r>
      <w:r>
        <w:rPr>
          <w:rFonts w:hint="eastAsia" w:ascii="仿宋_GB2312" w:hAnsi="黑体" w:eastAsia="仿宋_GB2312" w:cs="宋体"/>
          <w:sz w:val="32"/>
          <w:szCs w:val="32"/>
        </w:rPr>
        <w:t>考核研究生的</w:t>
      </w:r>
      <w:r>
        <w:rPr>
          <w:rFonts w:ascii="仿宋_GB2312" w:hAnsi="黑体" w:eastAsia="仿宋_GB2312" w:cs="宋体"/>
          <w:sz w:val="32"/>
          <w:szCs w:val="32"/>
        </w:rPr>
        <w:t>政治素质、</w:t>
      </w:r>
      <w:r>
        <w:rPr>
          <w:rFonts w:hint="eastAsia" w:ascii="仿宋_GB2312" w:hAnsi="黑体" w:eastAsia="仿宋_GB2312" w:cs="宋体"/>
          <w:sz w:val="32"/>
          <w:szCs w:val="32"/>
        </w:rPr>
        <w:t>心理素质</w:t>
      </w:r>
      <w:r>
        <w:rPr>
          <w:rFonts w:ascii="仿宋_GB2312" w:hAnsi="黑体" w:eastAsia="仿宋_GB2312" w:cs="宋体"/>
          <w:sz w:val="32"/>
          <w:szCs w:val="32"/>
        </w:rPr>
        <w:t>、</w:t>
      </w:r>
      <w:r>
        <w:rPr>
          <w:rFonts w:hint="eastAsia" w:ascii="仿宋_GB2312" w:hAnsi="黑体" w:eastAsia="仿宋_GB2312" w:cs="宋体"/>
          <w:sz w:val="32"/>
          <w:szCs w:val="32"/>
        </w:rPr>
        <w:t>集体观念</w:t>
      </w:r>
      <w:r>
        <w:rPr>
          <w:rFonts w:ascii="仿宋_GB2312" w:hAnsi="黑体" w:eastAsia="仿宋_GB2312" w:cs="宋体"/>
          <w:sz w:val="32"/>
          <w:szCs w:val="32"/>
        </w:rPr>
        <w:t>、</w:t>
      </w:r>
      <w:r>
        <w:rPr>
          <w:rFonts w:hint="eastAsia" w:ascii="仿宋_GB2312" w:hAnsi="黑体" w:eastAsia="仿宋_GB2312" w:cs="宋体"/>
          <w:sz w:val="32"/>
          <w:szCs w:val="32"/>
        </w:rPr>
        <w:t>遵纪守法、社会公德等思想政治表现</w:t>
      </w:r>
      <w:r>
        <w:rPr>
          <w:rFonts w:ascii="仿宋_GB2312" w:hAnsi="黑体" w:eastAsia="仿宋_GB2312" w:cs="宋体"/>
          <w:sz w:val="32"/>
          <w:szCs w:val="32"/>
        </w:rPr>
        <w:t>。</w:t>
      </w:r>
      <w:r>
        <w:rPr>
          <w:rFonts w:hint="eastAsia" w:ascii="仿宋_GB2312" w:hAnsi="黑体" w:eastAsia="仿宋_GB2312" w:cs="宋体"/>
          <w:sz w:val="32"/>
          <w:szCs w:val="32"/>
        </w:rPr>
        <w:t xml:space="preserve">有以下情节之一者取消其研究生国家奖学金参评资格： </w:t>
      </w:r>
    </w:p>
    <w:p>
      <w:pPr>
        <w:spacing w:line="58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（1）在校期间有违法犯罪行为，受到刑事、行政处罚者；</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 xml:space="preserve">（2）在校期间有违纪现象，受纪律处分者；  </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（3）出现论文抄袭、造假等学术不端行为者；</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（4）课程学习阶段，一学期内累计请假达30学时或者15天者；论文撰写阶段未按规定程序请假而离校、时间超过7天的研究生。</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（5）经核实为非全脱产学习的研究生。</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2、思想政治及综合表现由各培养单位评审委员会考核</w:t>
      </w:r>
      <w:r>
        <w:rPr>
          <w:rFonts w:ascii="仿宋_GB2312" w:hAnsi="黑体" w:eastAsia="仿宋_GB2312" w:cs="宋体"/>
          <w:sz w:val="32"/>
          <w:szCs w:val="32"/>
        </w:rPr>
        <w:t>。</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五、评审结果应用</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根据研究生国家奖学金评审内容的前三项成绩，即（A+B+C）成绩，由高分到低分排名，其排名靠前者（实际名额的一定差额）为国家奖学金预选名额，进入D项思想政治综合表现考核，通过D项思想政治及综合考核，各培养单位评审委员会确立研究生国家奖学金推荐人选</w:t>
      </w:r>
      <w:r>
        <w:rPr>
          <w:rFonts w:ascii="仿宋_GB2312" w:hAnsi="黑体" w:eastAsia="仿宋_GB2312" w:cs="宋体"/>
          <w:sz w:val="32"/>
          <w:szCs w:val="32"/>
        </w:rPr>
        <w:t>。</w:t>
      </w:r>
    </w:p>
    <w:p>
      <w:pPr>
        <w:spacing w:line="58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六、各二级培养单位可根据本办法结合本学科的特点和人才培养要求，制定相应的实施细则，报研究生院备案。</w:t>
      </w: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p>
    <w:p>
      <w:pPr>
        <w:tabs>
          <w:tab w:val="left" w:pos="360"/>
        </w:tabs>
        <w:spacing w:line="400" w:lineRule="exact"/>
        <w:rPr>
          <w:rFonts w:hint="eastAsia" w:ascii="宋体" w:hAnsi="宋体" w:cs="宋体"/>
          <w:b/>
          <w:bCs/>
        </w:rPr>
      </w:pPr>
      <w:bookmarkStart w:id="5" w:name="_GoBack"/>
      <w:bookmarkEnd w:id="5"/>
    </w:p>
    <w:p>
      <w:pPr>
        <w:rPr>
          <w:rFonts w:hint="eastAsia" w:ascii="黑体" w:hAnsi="宋体" w:eastAsia="黑体" w:cs="宋体"/>
          <w:kern w:val="0"/>
          <w:sz w:val="24"/>
        </w:rPr>
      </w:pPr>
    </w:p>
    <w:p>
      <w:pPr>
        <w:spacing w:line="580" w:lineRule="exact"/>
        <w:ind w:firstLine="633" w:firstLineChars="198"/>
        <w:rPr>
          <w:rFonts w:hint="eastAsia" w:ascii="仿宋_GB2312" w:hAnsi="黑体" w:eastAsia="仿宋_GB2312" w:cs="宋体"/>
          <w:sz w:val="32"/>
          <w:szCs w:val="32"/>
        </w:rPr>
      </w:pPr>
    </w:p>
    <w:p>
      <w:pPr>
        <w:autoSpaceDE w:val="0"/>
        <w:autoSpaceDN w:val="0"/>
        <w:adjustRightInd w:val="0"/>
        <w:spacing w:line="560" w:lineRule="exact"/>
        <w:ind w:firstLine="210" w:firstLineChars="100"/>
        <w:rPr>
          <w:rFonts w:hint="eastAsia" w:ascii="仿宋_GB2312" w:eastAsia="仿宋_GB2312"/>
          <w:sz w:val="32"/>
          <w:szCs w:val="32"/>
        </w:rPr>
      </w:pPr>
      <w:r>
        <w:pict>
          <v:line id="_x0000_s1027" o:spid="_x0000_s1027" o:spt="20" style="position:absolute;left:0pt;margin-left:0pt;margin-top:30.6pt;height:0pt;width:441pt;z-index:251660288;mso-width-relative:page;mso-height-relative:page;" filled="f" stroked="t" coordsize="21600,21600">
            <v:path arrowok="t"/>
            <v:fill on="f" focussize="0,0"/>
            <v:stroke color="#000000"/>
            <v:imagedata o:title=""/>
            <o:lock v:ext="edit" aspectratio="f"/>
          </v:line>
        </w:pict>
      </w:r>
      <w:r>
        <w:pict>
          <v:line id="_x0000_s1028" o:spid="_x0000_s1028" o:spt="20" style="position:absolute;left:0pt;margin-left:0pt;margin-top:2.4pt;height:0pt;width:441pt;z-index:251659264;mso-width-relative:page;mso-height-relative:page;" filled="f" stroked="t" coordsize="21600,21600">
            <v:path arrowok="t"/>
            <v:fill on="f" focussize="0,0"/>
            <v:stroke color="#000000"/>
            <v:imagedata o:title=""/>
            <o:lock v:ext="edit" aspectratio="f"/>
          </v:line>
        </w:pict>
      </w:r>
      <w:r>
        <w:rPr>
          <w:rFonts w:hint="eastAsia" w:ascii="仿宋_GB2312" w:eastAsia="仿宋_GB2312" w:cs="仿宋_GB2312"/>
          <w:sz w:val="32"/>
          <w:szCs w:val="32"/>
          <w:lang w:val="zh-CN"/>
        </w:rPr>
        <w:t>吉首大学校长办公室　</w:t>
      </w:r>
      <w:r>
        <w:rPr>
          <w:rFonts w:ascii="仿宋_GB2312" w:eastAsia="仿宋_GB2312" w:cs="仿宋_GB2312"/>
          <w:sz w:val="32"/>
          <w:szCs w:val="32"/>
          <w:lang w:val="zh-CN"/>
        </w:rPr>
        <w:t xml:space="preserve">              </w:t>
      </w:r>
      <w:r>
        <w:rPr>
          <w:rFonts w:hint="eastAsia" w:ascii="仿宋_GB2312" w:eastAsia="仿宋_GB2312" w:cs="仿宋_GB2312"/>
          <w:sz w:val="32"/>
          <w:szCs w:val="32"/>
          <w:lang w:val="zh-CN"/>
        </w:rPr>
        <w:t xml:space="preserve"> </w:t>
      </w:r>
      <w:r>
        <w:rPr>
          <w:rFonts w:ascii="仿宋_GB2312" w:eastAsia="仿宋_GB2312" w:cs="仿宋_GB2312"/>
          <w:sz w:val="32"/>
          <w:szCs w:val="32"/>
          <w:lang w:val="zh-CN"/>
        </w:rPr>
        <w:t>2017</w:t>
      </w:r>
      <w:r>
        <w:rPr>
          <w:rFonts w:hint="eastAsia" w:ascii="仿宋_GB2312" w:eastAsia="仿宋_GB2312" w:cs="仿宋_GB2312"/>
          <w:sz w:val="32"/>
          <w:szCs w:val="32"/>
          <w:lang w:val="zh-CN"/>
        </w:rPr>
        <w:t>年6月</w:t>
      </w:r>
      <w:r>
        <w:rPr>
          <w:rFonts w:ascii="仿宋_GB2312" w:eastAsia="仿宋_GB2312" w:cs="仿宋_GB2312"/>
          <w:sz w:val="32"/>
          <w:szCs w:val="32"/>
          <w:lang w:val="zh-CN"/>
        </w:rPr>
        <w:t>2</w:t>
      </w:r>
      <w:r>
        <w:rPr>
          <w:rFonts w:hint="eastAsia" w:ascii="仿宋_GB2312" w:eastAsia="仿宋_GB2312" w:cs="仿宋_GB2312"/>
          <w:sz w:val="32"/>
          <w:szCs w:val="32"/>
          <w:lang w:val="zh-CN"/>
        </w:rPr>
        <w:t>日印发</w:t>
      </w:r>
    </w:p>
    <w:p/>
    <w:sectPr>
      <w:footerReference r:id="rId3" w:type="default"/>
      <w:pgSz w:w="11906" w:h="16838"/>
      <w:pgMar w:top="2098" w:right="1418" w:bottom="1701"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_x000B__x000C_">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fldChar w:fldCharType="begin"/>
    </w:r>
    <w:r>
      <w:instrText xml:space="preserve"> PAGE   \* MERGEFORMAT </w:instrText>
    </w:r>
    <w:r>
      <w:fldChar w:fldCharType="separate"/>
    </w:r>
    <w:r>
      <w:rPr>
        <w:lang w:val="zh-CN"/>
      </w:rPr>
      <w:t>72</w:t>
    </w:r>
    <w:r>
      <w:fldChar w:fldCharType="end"/>
    </w:r>
  </w:p>
  <w:p>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A28"/>
    <w:rsid w:val="00081F1E"/>
    <w:rsid w:val="0034553A"/>
    <w:rsid w:val="00386F94"/>
    <w:rsid w:val="00391CB9"/>
    <w:rsid w:val="0044502F"/>
    <w:rsid w:val="00484AF4"/>
    <w:rsid w:val="004943F2"/>
    <w:rsid w:val="005D6C6A"/>
    <w:rsid w:val="005F6AB8"/>
    <w:rsid w:val="00677D20"/>
    <w:rsid w:val="007421CA"/>
    <w:rsid w:val="007A77EB"/>
    <w:rsid w:val="008D03A7"/>
    <w:rsid w:val="009C2C87"/>
    <w:rsid w:val="00B52CC8"/>
    <w:rsid w:val="00BB0B84"/>
    <w:rsid w:val="00EC189D"/>
    <w:rsid w:val="00EF2A28"/>
    <w:rsid w:val="21844815"/>
    <w:rsid w:val="2EA134BB"/>
    <w:rsid w:val="4B075937"/>
    <w:rsid w:val="7FAA50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Body Text"/>
    <w:basedOn w:val="1"/>
    <w:link w:val="17"/>
    <w:uiPriority w:val="0"/>
    <w:pPr>
      <w:spacing w:after="120"/>
    </w:pPr>
  </w:style>
  <w:style w:type="paragraph" w:styleId="5">
    <w:name w:val="Body Text Indent"/>
    <w:basedOn w:val="1"/>
    <w:link w:val="18"/>
    <w:qFormat/>
    <w:uiPriority w:val="0"/>
    <w:pPr>
      <w:spacing w:line="560" w:lineRule="exact"/>
      <w:ind w:firstLine="540"/>
    </w:pPr>
    <w:rPr>
      <w:rFonts w:ascii="仿宋_GB2312" w:eastAsia="仿宋_GB2312"/>
      <w:sz w:val="28"/>
    </w:rPr>
  </w:style>
  <w:style w:type="paragraph" w:styleId="6">
    <w:name w:val="Balloon Text"/>
    <w:basedOn w:val="1"/>
    <w:link w:val="22"/>
    <w:qFormat/>
    <w:uiPriority w:val="0"/>
    <w:rPr>
      <w:sz w:val="18"/>
      <w:szCs w:val="18"/>
    </w:rPr>
  </w:style>
  <w:style w:type="paragraph" w:styleId="7">
    <w:name w:val="footer"/>
    <w:basedOn w:val="1"/>
    <w:link w:val="21"/>
    <w:qFormat/>
    <w:uiPriority w:val="0"/>
    <w:pPr>
      <w:tabs>
        <w:tab w:val="center" w:pos="4153"/>
        <w:tab w:val="right" w:pos="8306"/>
      </w:tabs>
      <w:snapToGrid w:val="0"/>
      <w:jc w:val="left"/>
    </w:pPr>
    <w:rPr>
      <w:sz w:val="18"/>
      <w:szCs w:val="18"/>
    </w:rPr>
  </w:style>
  <w:style w:type="paragraph" w:styleId="8">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rFonts w:ascii="Times New Roman" w:hAnsi="Times New Roman" w:eastAsia="宋体" w:cs="Times New Roman"/>
      <w:b/>
      <w:bCs/>
    </w:rPr>
  </w:style>
  <w:style w:type="character" w:styleId="12">
    <w:name w:val="page number"/>
    <w:basedOn w:val="10"/>
    <w:qFormat/>
    <w:uiPriority w:val="0"/>
    <w:rPr>
      <w:rFonts w:ascii="Times New Roman" w:hAnsi="Times New Roman" w:eastAsia="宋体" w:cs="Times New Roman"/>
    </w:rPr>
  </w:style>
  <w:style w:type="paragraph" w:customStyle="1" w:styleId="14">
    <w:name w:val=" Char Char"/>
    <w:uiPriority w:val="0"/>
    <w:pPr>
      <w:widowControl w:val="0"/>
      <w:spacing w:line="300" w:lineRule="auto"/>
      <w:ind w:firstLine="480" w:firstLineChars="200"/>
      <w:jc w:val="both"/>
    </w:pPr>
    <w:rPr>
      <w:rFonts w:ascii="Times New Roman" w:hAnsi="Times New Roman" w:eastAsia="仿宋_GB2312" w:cs="Times New Roman"/>
      <w:kern w:val="2"/>
      <w:sz w:val="24"/>
      <w:szCs w:val="24"/>
      <w:lang w:val="en-US" w:eastAsia="zh-CN" w:bidi="ar-SA"/>
    </w:rPr>
  </w:style>
  <w:style w:type="character" w:customStyle="1" w:styleId="15">
    <w:name w:val="标题 2 Char"/>
    <w:basedOn w:val="10"/>
    <w:link w:val="2"/>
    <w:uiPriority w:val="0"/>
    <w:rPr>
      <w:rFonts w:ascii="Arial" w:hAnsi="Arial" w:eastAsia="黑体" w:cs="Times New Roman"/>
      <w:b/>
      <w:bCs/>
      <w:kern w:val="2"/>
      <w:sz w:val="32"/>
      <w:szCs w:val="32"/>
    </w:rPr>
  </w:style>
  <w:style w:type="character" w:customStyle="1" w:styleId="16">
    <w:name w:val="char1"/>
    <w:qFormat/>
    <w:uiPriority w:val="0"/>
    <w:rPr>
      <w:rFonts w:ascii="Times New Roman" w:hAnsi="Times New Roman" w:eastAsia="宋体" w:cs="Times New Roman"/>
      <w:color w:val="165B9E"/>
      <w:sz w:val="18"/>
      <w:szCs w:val="18"/>
      <w:u w:val="none"/>
    </w:rPr>
  </w:style>
  <w:style w:type="character" w:customStyle="1" w:styleId="17">
    <w:name w:val="正文文本 Char"/>
    <w:basedOn w:val="10"/>
    <w:link w:val="4"/>
    <w:qFormat/>
    <w:uiPriority w:val="0"/>
    <w:rPr>
      <w:rFonts w:ascii="Times New Roman" w:hAnsi="Times New Roman" w:eastAsia="宋体" w:cs="Times New Roman"/>
      <w:kern w:val="2"/>
      <w:sz w:val="21"/>
      <w:szCs w:val="24"/>
    </w:rPr>
  </w:style>
  <w:style w:type="character" w:customStyle="1" w:styleId="18">
    <w:name w:val="正文文本缩进 Char"/>
    <w:basedOn w:val="10"/>
    <w:link w:val="5"/>
    <w:uiPriority w:val="0"/>
    <w:rPr>
      <w:rFonts w:ascii="仿宋_GB2312" w:hAnsi="Times New Roman" w:eastAsia="仿宋_GB2312" w:cs="Times New Roman"/>
      <w:kern w:val="2"/>
      <w:sz w:val="28"/>
      <w:szCs w:val="24"/>
    </w:rPr>
  </w:style>
  <w:style w:type="character" w:customStyle="1" w:styleId="19">
    <w:name w:val="批注文字 Char"/>
    <w:basedOn w:val="10"/>
    <w:link w:val="3"/>
    <w:qFormat/>
    <w:uiPriority w:val="0"/>
    <w:rPr>
      <w:rFonts w:ascii="Times New Roman" w:hAnsi="Times New Roman" w:eastAsia="宋体" w:cs="Times New Roman"/>
      <w:kern w:val="2"/>
      <w:sz w:val="21"/>
      <w:szCs w:val="24"/>
    </w:rPr>
  </w:style>
  <w:style w:type="character" w:customStyle="1" w:styleId="20">
    <w:name w:val="页眉 Char"/>
    <w:basedOn w:val="10"/>
    <w:link w:val="8"/>
    <w:qFormat/>
    <w:uiPriority w:val="0"/>
    <w:rPr>
      <w:rFonts w:ascii="Times New Roman" w:hAnsi="Times New Roman" w:eastAsia="宋体" w:cs="Times New Roman"/>
      <w:kern w:val="2"/>
      <w:sz w:val="18"/>
      <w:szCs w:val="18"/>
    </w:rPr>
  </w:style>
  <w:style w:type="character" w:customStyle="1" w:styleId="21">
    <w:name w:val="页脚 Char"/>
    <w:basedOn w:val="10"/>
    <w:link w:val="7"/>
    <w:qFormat/>
    <w:uiPriority w:val="99"/>
    <w:rPr>
      <w:rFonts w:ascii="Times New Roman" w:hAnsi="Times New Roman" w:eastAsia="宋体" w:cs="Times New Roman"/>
      <w:kern w:val="2"/>
      <w:sz w:val="18"/>
      <w:szCs w:val="18"/>
    </w:rPr>
  </w:style>
  <w:style w:type="character" w:customStyle="1" w:styleId="22">
    <w:name w:val="批注框文本 Char"/>
    <w:basedOn w:val="10"/>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2017-09-28T08:56:00Z</dcterms:created>
  <dc:creator>xlc</dc:creator>
  <cp:lastModifiedBy>xlc</cp:lastModifiedBy>
  <dcterms:modified xsi:type="dcterms:W3CDTF">2017-09-29T09:45:39Z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